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83EDC" w14:textId="77777777" w:rsidR="00800A72" w:rsidRDefault="00000000">
      <w:pPr>
        <w:spacing w:after="0" w:line="259" w:lineRule="auto"/>
        <w:ind w:left="13" w:right="0" w:firstLine="0"/>
        <w:jc w:val="left"/>
      </w:pPr>
      <w:r>
        <w:rPr>
          <w:sz w:val="21"/>
        </w:rPr>
        <w:t xml:space="preserve"> </w:t>
      </w:r>
    </w:p>
    <w:p w14:paraId="6A506F5C" w14:textId="77777777" w:rsidR="00800A72" w:rsidRDefault="00000000">
      <w:pPr>
        <w:spacing w:after="170" w:line="259" w:lineRule="auto"/>
        <w:ind w:left="10" w:right="34"/>
        <w:jc w:val="center"/>
      </w:pPr>
      <w:r>
        <w:t xml:space="preserve">ΔΙΕΘΝΗΣ ΑΕΡΟΛΙΜΕΝΑΣ ΑΘΗΝΩΝ Α.Ε. </w:t>
      </w:r>
    </w:p>
    <w:p w14:paraId="2ACD1CC7" w14:textId="77777777" w:rsidR="00800A72" w:rsidRDefault="00000000">
      <w:pPr>
        <w:spacing w:after="9" w:line="259" w:lineRule="auto"/>
        <w:ind w:left="10" w:right="33"/>
        <w:jc w:val="center"/>
      </w:pPr>
      <w:r>
        <w:t xml:space="preserve">Βασικά Οικονομικά Μεγέθη </w:t>
      </w:r>
      <w:proofErr w:type="spellStart"/>
      <w:r>
        <w:t>Εννεαμήνου</w:t>
      </w:r>
      <w:proofErr w:type="spellEnd"/>
      <w:r>
        <w:t xml:space="preserve"> 2026 </w:t>
      </w:r>
    </w:p>
    <w:p w14:paraId="19D5B78A" w14:textId="77777777" w:rsidR="00800A72" w:rsidRDefault="00000000">
      <w:pPr>
        <w:spacing w:after="13" w:line="259" w:lineRule="auto"/>
        <w:ind w:left="28" w:right="0" w:firstLine="0"/>
        <w:jc w:val="center"/>
      </w:pPr>
      <w:r>
        <w:t xml:space="preserve"> </w:t>
      </w:r>
    </w:p>
    <w:p w14:paraId="36EEFA48" w14:textId="77777777" w:rsidR="00800A72" w:rsidRDefault="00000000">
      <w:pPr>
        <w:pStyle w:val="1"/>
        <w:ind w:left="8"/>
      </w:pPr>
      <w:r>
        <w:t xml:space="preserve"> Ισχυρή θερινή περίοδος και σταθερή κερδοφορία εναρμονισμένη με το ρυθμιστικό πλαίσιο </w:t>
      </w:r>
    </w:p>
    <w:p w14:paraId="09046B22" w14:textId="77777777" w:rsidR="00800A72" w:rsidRDefault="00000000">
      <w:pPr>
        <w:spacing w:after="173" w:line="259" w:lineRule="auto"/>
        <w:ind w:left="37" w:right="0" w:firstLine="0"/>
        <w:jc w:val="left"/>
      </w:pPr>
      <w:r>
        <w:rPr>
          <w:rFonts w:ascii="Calibri" w:eastAsia="Calibri" w:hAnsi="Calibri" w:cs="Calibri"/>
          <w:noProof/>
          <w:sz w:val="22"/>
        </w:rPr>
        <mc:AlternateContent>
          <mc:Choice Requires="wpg">
            <w:drawing>
              <wp:inline distT="0" distB="0" distL="0" distR="0" wp14:anchorId="68594F82" wp14:editId="454C1F5E">
                <wp:extent cx="6237732" cy="18288"/>
                <wp:effectExtent l="0" t="0" r="0" b="0"/>
                <wp:docPr id="9562" name="Group 9562"/>
                <wp:cNvGraphicFramePr/>
                <a:graphic xmlns:a="http://schemas.openxmlformats.org/drawingml/2006/main">
                  <a:graphicData uri="http://schemas.microsoft.com/office/word/2010/wordprocessingGroup">
                    <wpg:wgp>
                      <wpg:cNvGrpSpPr/>
                      <wpg:grpSpPr>
                        <a:xfrm>
                          <a:off x="0" y="0"/>
                          <a:ext cx="6237732" cy="18288"/>
                          <a:chOff x="0" y="0"/>
                          <a:chExt cx="6237732" cy="18288"/>
                        </a:xfrm>
                      </wpg:grpSpPr>
                      <wps:wsp>
                        <wps:cNvPr id="127" name="Shape 127"/>
                        <wps:cNvSpPr/>
                        <wps:spPr>
                          <a:xfrm>
                            <a:off x="0" y="0"/>
                            <a:ext cx="6237732" cy="0"/>
                          </a:xfrm>
                          <a:custGeom>
                            <a:avLst/>
                            <a:gdLst/>
                            <a:ahLst/>
                            <a:cxnLst/>
                            <a:rect l="0" t="0" r="0" b="0"/>
                            <a:pathLst>
                              <a:path w="6237732">
                                <a:moveTo>
                                  <a:pt x="0" y="0"/>
                                </a:moveTo>
                                <a:lnTo>
                                  <a:pt x="6237732" y="0"/>
                                </a:lnTo>
                              </a:path>
                            </a:pathLst>
                          </a:custGeom>
                          <a:ln w="18288" cap="flat">
                            <a:miter lim="101600"/>
                          </a:ln>
                        </wps:spPr>
                        <wps:style>
                          <a:lnRef idx="1">
                            <a:srgbClr val="20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9562" style="width:491.16pt;height:1.44pt;mso-position-horizontal-relative:char;mso-position-vertical-relative:line" coordsize="62377,182">
                <v:shape id="Shape 127" style="position:absolute;width:62377;height:0;left:0;top:0;" coordsize="6237732,0" path="m0,0l6237732,0">
                  <v:stroke weight="1.44pt" endcap="flat" joinstyle="miter" miterlimit="8" on="true" color="#203864"/>
                  <v:fill on="false" color="#000000" opacity="0"/>
                </v:shape>
              </v:group>
            </w:pict>
          </mc:Fallback>
        </mc:AlternateContent>
      </w:r>
    </w:p>
    <w:p w14:paraId="098EBC11" w14:textId="77777777" w:rsidR="00800A72" w:rsidRDefault="00000000">
      <w:pPr>
        <w:spacing w:after="234"/>
        <w:ind w:left="8" w:right="29"/>
      </w:pPr>
      <w:r>
        <w:t xml:space="preserve">Αθήνα, Ελλάδα: 27 Οκτωβρίου 2026 – H εταιρεία «ΔΙΕΘΝΗΣ ΑΕΡΟΛΙΜΕΝΑΣ ΑΘΗΝΩΝ Α.Ε.» (RIC: AIAr.AT, </w:t>
      </w:r>
      <w:proofErr w:type="spellStart"/>
      <w:r>
        <w:t>Bloomberg</w:t>
      </w:r>
      <w:proofErr w:type="spellEnd"/>
      <w:r>
        <w:t xml:space="preserve">: AIA.GA, ATHEX: ΔΑΑ), εφεξής «Εταιρεία» ή «ΔΑΑ», ανακοινώνει σήμερα τα επιλεγμένα οικονομικά μεγέθη για την εννεάμηνη περίοδο που έληξε στις 30 Σεπτεμβρίου 2026, τα οποία καταρτίστηκαν σύμφωνα με τα Διεθνή Πρότυπα Χρηματοοικονομικής Αναφοράς.  </w:t>
      </w:r>
    </w:p>
    <w:p w14:paraId="43D17AF1" w14:textId="77777777" w:rsidR="00800A72" w:rsidRDefault="00000000">
      <w:pPr>
        <w:spacing w:after="170" w:line="259" w:lineRule="auto"/>
        <w:ind w:left="13" w:right="0" w:firstLine="0"/>
        <w:jc w:val="left"/>
      </w:pPr>
      <w:r>
        <w:rPr>
          <w:color w:val="FFFFFF"/>
          <w:u w:val="single" w:color="FFFFFF"/>
        </w:rPr>
        <w:t>Κύρια Σημεία</w:t>
      </w:r>
      <w:r>
        <w:rPr>
          <w:color w:val="FFFFFF"/>
        </w:rPr>
        <w:t xml:space="preserve"> </w:t>
      </w:r>
    </w:p>
    <w:p w14:paraId="5666542E" w14:textId="77777777" w:rsidR="00800A72" w:rsidRDefault="00000000">
      <w:pPr>
        <w:numPr>
          <w:ilvl w:val="0"/>
          <w:numId w:val="1"/>
        </w:numPr>
        <w:spacing w:after="26" w:line="267" w:lineRule="auto"/>
        <w:ind w:right="27" w:hanging="350"/>
      </w:pPr>
      <w:r>
        <w:rPr>
          <w:color w:val="FFFFFF"/>
        </w:rPr>
        <w:t xml:space="preserve">Η </w:t>
      </w:r>
      <w:r>
        <w:rPr>
          <w:color w:val="FFC000"/>
        </w:rPr>
        <w:t>επιβατική κίνηση</w:t>
      </w:r>
      <w:r>
        <w:rPr>
          <w:color w:val="FFFFFF"/>
        </w:rPr>
        <w:t xml:space="preserve"> το εννεάμηνο του 2026 ανήλθε σε 27,3 εκατ. επιβάτες, αυξημένη 4,3% σε σχέση με το εννεάμηνο του 2025. </w:t>
      </w:r>
      <w:r>
        <w:rPr>
          <w:color w:val="FFFFFF"/>
        </w:rPr>
        <w:tab/>
      </w:r>
      <w:r>
        <w:rPr>
          <w:color w:val="FFFFFF"/>
          <w:sz w:val="21"/>
        </w:rPr>
        <w:t xml:space="preserve"> </w:t>
      </w:r>
    </w:p>
    <w:p w14:paraId="2EB84061" w14:textId="77777777" w:rsidR="00800A72" w:rsidRDefault="00000000">
      <w:pPr>
        <w:numPr>
          <w:ilvl w:val="0"/>
          <w:numId w:val="1"/>
        </w:numPr>
        <w:spacing w:after="26" w:line="267" w:lineRule="auto"/>
        <w:ind w:right="27" w:hanging="350"/>
      </w:pPr>
      <w:r>
        <w:rPr>
          <w:color w:val="FFFFFF"/>
        </w:rPr>
        <w:t xml:space="preserve">Τα </w:t>
      </w:r>
      <w:r>
        <w:rPr>
          <w:color w:val="FFC000"/>
        </w:rPr>
        <w:t>Συνολικά έσοδα και λοιπά εισοδήματα</w:t>
      </w:r>
      <w:r>
        <w:rPr>
          <w:color w:val="FFC000"/>
          <w:vertAlign w:val="superscript"/>
        </w:rPr>
        <w:t>1</w:t>
      </w:r>
      <w:r>
        <w:rPr>
          <w:color w:val="FFC000"/>
        </w:rPr>
        <w:t xml:space="preserve"> </w:t>
      </w:r>
      <w:r>
        <w:rPr>
          <w:color w:val="FFFFFF"/>
        </w:rPr>
        <w:t xml:space="preserve">αυξήθηκαν κατά 0,6% σε €530,0 εκατ. το εννεάμηνο του 2026, ενισχυμένα από την αύξηση της επιβατικής κίνησης και τη σημαντική επίδοση των Μη Αεροπορικών </w:t>
      </w:r>
      <w:r>
        <w:rPr>
          <w:color w:val="FFFFFF"/>
          <w:sz w:val="33"/>
          <w:vertAlign w:val="superscript"/>
        </w:rPr>
        <w:t xml:space="preserve"> </w:t>
      </w:r>
      <w:r>
        <w:rPr>
          <w:color w:val="FFFFFF"/>
        </w:rPr>
        <w:t xml:space="preserve">Δραστηριοτήτων, με την επίδραση αυτή να αντισταθμίζεται μερικώς από τις προσαρμογές των Αεροπορικών </w:t>
      </w:r>
      <w:r>
        <w:rPr>
          <w:color w:val="FFFFFF"/>
          <w:sz w:val="21"/>
        </w:rPr>
        <w:t xml:space="preserve"> </w:t>
      </w:r>
      <w:r>
        <w:rPr>
          <w:color w:val="FFFFFF"/>
        </w:rPr>
        <w:t xml:space="preserve">Χρεώσεων σύμφωνα με το ρυθμιστικό πλαίσιο. </w:t>
      </w:r>
    </w:p>
    <w:p w14:paraId="6D8A90A4" w14:textId="77777777" w:rsidR="00800A72" w:rsidRDefault="00000000">
      <w:pPr>
        <w:numPr>
          <w:ilvl w:val="0"/>
          <w:numId w:val="1"/>
        </w:numPr>
        <w:spacing w:after="26" w:line="267" w:lineRule="auto"/>
        <w:ind w:right="27" w:hanging="350"/>
      </w:pPr>
      <w:r>
        <w:rPr>
          <w:color w:val="FFFFFF"/>
        </w:rPr>
        <w:t xml:space="preserve">Το </w:t>
      </w:r>
      <w:r>
        <w:rPr>
          <w:color w:val="FFC000"/>
        </w:rPr>
        <w:t>Προσαρμοσμένο EBITDA</w:t>
      </w:r>
      <w:r>
        <w:rPr>
          <w:color w:val="FFC000"/>
          <w:vertAlign w:val="superscript"/>
        </w:rPr>
        <w:t>2,3</w:t>
      </w:r>
      <w:r>
        <w:rPr>
          <w:color w:val="FFC000"/>
        </w:rPr>
        <w:t xml:space="preserve"> </w:t>
      </w:r>
      <w:r>
        <w:rPr>
          <w:color w:val="FFFFFF"/>
        </w:rPr>
        <w:t>διαμορφώθηκε σε €331,2 εκατ., μειωμένο κατά 1,3</w:t>
      </w:r>
      <w:r>
        <w:rPr>
          <w:color w:val="FFFFFF"/>
          <w:sz w:val="21"/>
        </w:rPr>
        <w:t xml:space="preserve"> </w:t>
      </w:r>
      <w:r>
        <w:rPr>
          <w:color w:val="FFFFFF"/>
        </w:rPr>
        <w:t xml:space="preserve">% σε σχέση με το εννεάμηνο του 2025, σύμφωνα με τους βραχυπρόθεσμους στόχους της Εταιρείας. </w:t>
      </w:r>
    </w:p>
    <w:p w14:paraId="77DBE7C0" w14:textId="77777777" w:rsidR="00800A72" w:rsidRDefault="00000000">
      <w:pPr>
        <w:spacing w:after="0" w:line="259" w:lineRule="auto"/>
        <w:ind w:left="96" w:right="0" w:firstLine="0"/>
        <w:jc w:val="center"/>
      </w:pPr>
      <w:r>
        <w:rPr>
          <w:color w:val="FFFFFF"/>
          <w:sz w:val="21"/>
        </w:rPr>
        <w:t xml:space="preserve"> </w:t>
      </w:r>
    </w:p>
    <w:p w14:paraId="4A569A79" w14:textId="77777777" w:rsidR="00800A72" w:rsidRDefault="00000000">
      <w:pPr>
        <w:numPr>
          <w:ilvl w:val="0"/>
          <w:numId w:val="1"/>
        </w:numPr>
        <w:spacing w:after="100" w:line="267" w:lineRule="auto"/>
        <w:ind w:right="27" w:hanging="350"/>
      </w:pPr>
      <w:r>
        <w:rPr>
          <w:noProof/>
        </w:rPr>
        <w:drawing>
          <wp:anchor distT="0" distB="0" distL="114300" distR="114300" simplePos="0" relativeHeight="251658240" behindDoc="0" locked="0" layoutInCell="1" allowOverlap="0" wp14:anchorId="145C3DA1" wp14:editId="31B51338">
            <wp:simplePos x="0" y="0"/>
            <wp:positionH relativeFrom="page">
              <wp:posOffset>0</wp:posOffset>
            </wp:positionH>
            <wp:positionV relativeFrom="page">
              <wp:posOffset>454153</wp:posOffset>
            </wp:positionV>
            <wp:extent cx="7554468" cy="1424940"/>
            <wp:effectExtent l="0" t="0" r="0" b="0"/>
            <wp:wrapTopAndBottom/>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7554468" cy="1424940"/>
                    </a:xfrm>
                    <a:prstGeom prst="rect">
                      <a:avLst/>
                    </a:prstGeom>
                  </pic:spPr>
                </pic:pic>
              </a:graphicData>
            </a:graphic>
          </wp:anchor>
        </w:drawing>
      </w:r>
      <w:r>
        <w:rPr>
          <w:color w:val="FFFFFF"/>
        </w:rPr>
        <w:t xml:space="preserve">Τα </w:t>
      </w:r>
      <w:r>
        <w:rPr>
          <w:color w:val="FFC000"/>
        </w:rPr>
        <w:t xml:space="preserve">Κέρδη μετά από Φόρους </w:t>
      </w:r>
      <w:r>
        <w:rPr>
          <w:color w:val="FFFFFF"/>
        </w:rPr>
        <w:t xml:space="preserve">διαμορφώθηκαν σε €173,5 εκατ., μειωμένα κατά 6,6% σε σχέση με το εννεάμηνο του 2025 σύμφωνα με τους στόχους της Εταιρείας, αντανακλώντας την επίδραση της εξάντλησης </w:t>
      </w:r>
      <w:r>
        <w:rPr>
          <w:color w:val="FFFFFF"/>
          <w:sz w:val="21"/>
        </w:rPr>
        <w:t xml:space="preserve"> </w:t>
      </w:r>
      <w:r>
        <w:rPr>
          <w:color w:val="FFFFFF"/>
        </w:rPr>
        <w:t>του Μεταφερόμενου Ποσού</w:t>
      </w:r>
      <w:r>
        <w:rPr>
          <w:color w:val="FFFFFF"/>
          <w:vertAlign w:val="superscript"/>
        </w:rPr>
        <w:t>4</w:t>
      </w:r>
      <w:r>
        <w:rPr>
          <w:color w:val="FFFFFF"/>
        </w:rPr>
        <w:t xml:space="preserve">, η οποία αντισταθμίστηκε εν μέρει από την αύξηση Κεφαλαίου Αεροπορικών </w:t>
      </w:r>
    </w:p>
    <w:p w14:paraId="7770F92F" w14:textId="77777777" w:rsidR="00800A72" w:rsidRDefault="00000000">
      <w:pPr>
        <w:tabs>
          <w:tab w:val="center" w:pos="1291"/>
          <w:tab w:val="center" w:pos="4960"/>
        </w:tabs>
        <w:spacing w:after="26" w:line="267" w:lineRule="auto"/>
        <w:ind w:left="0" w:right="0" w:firstLine="0"/>
        <w:jc w:val="left"/>
      </w:pPr>
      <w:r>
        <w:rPr>
          <w:rFonts w:ascii="Calibri" w:eastAsia="Calibri" w:hAnsi="Calibri" w:cs="Calibri"/>
          <w:sz w:val="22"/>
        </w:rPr>
        <w:tab/>
      </w:r>
      <w:r>
        <w:rPr>
          <w:color w:val="FFFFFF"/>
        </w:rPr>
        <w:t xml:space="preserve">Δραστηριοτήτων. </w:t>
      </w:r>
      <w:r>
        <w:rPr>
          <w:color w:val="FFFFFF"/>
        </w:rPr>
        <w:tab/>
      </w:r>
      <w:r>
        <w:rPr>
          <w:color w:val="FFFFFF"/>
          <w:sz w:val="21"/>
        </w:rPr>
        <w:t xml:space="preserve"> </w:t>
      </w:r>
    </w:p>
    <w:p w14:paraId="44146920" w14:textId="77777777" w:rsidR="00800A72" w:rsidRDefault="00000000">
      <w:pPr>
        <w:numPr>
          <w:ilvl w:val="0"/>
          <w:numId w:val="1"/>
        </w:numPr>
        <w:spacing w:after="0" w:line="267" w:lineRule="auto"/>
        <w:ind w:right="27" w:hanging="350"/>
      </w:pPr>
      <w:r>
        <w:rPr>
          <w:color w:val="FFFFFF"/>
        </w:rPr>
        <w:t xml:space="preserve">Το </w:t>
      </w:r>
      <w:r>
        <w:rPr>
          <w:color w:val="FFC000"/>
        </w:rPr>
        <w:t>Πρόγραμμα Επέκτασης του Αεροδρομίου</w:t>
      </w:r>
      <w:r>
        <w:rPr>
          <w:color w:val="FFFFFF"/>
        </w:rPr>
        <w:t xml:space="preserve"> προχωρά απρόσκοπτα, με τις κατασκευαστικές εργασίες </w:t>
      </w:r>
    </w:p>
    <w:p w14:paraId="5E11BD93" w14:textId="77777777" w:rsidR="00800A72" w:rsidRDefault="00000000">
      <w:pPr>
        <w:spacing w:after="0" w:line="259" w:lineRule="auto"/>
        <w:ind w:left="96" w:right="0" w:firstLine="0"/>
        <w:jc w:val="center"/>
      </w:pPr>
      <w:r>
        <w:rPr>
          <w:color w:val="FFFFFF"/>
          <w:sz w:val="21"/>
        </w:rPr>
        <w:t xml:space="preserve"> </w:t>
      </w:r>
    </w:p>
    <w:p w14:paraId="69A29F25" w14:textId="77777777" w:rsidR="00800A72" w:rsidRDefault="00000000">
      <w:pPr>
        <w:spacing w:after="251" w:line="267" w:lineRule="auto"/>
        <w:ind w:left="546" w:right="27" w:firstLine="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AAF1AFF" wp14:editId="7AAB5F55">
                <wp:simplePos x="0" y="0"/>
                <wp:positionH relativeFrom="column">
                  <wp:posOffset>-52414</wp:posOffset>
                </wp:positionH>
                <wp:positionV relativeFrom="paragraph">
                  <wp:posOffset>-2629230</wp:posOffset>
                </wp:positionV>
                <wp:extent cx="6461760" cy="3681984"/>
                <wp:effectExtent l="0" t="0" r="0" b="0"/>
                <wp:wrapNone/>
                <wp:docPr id="9560" name="Group 9560"/>
                <wp:cNvGraphicFramePr/>
                <a:graphic xmlns:a="http://schemas.openxmlformats.org/drawingml/2006/main">
                  <a:graphicData uri="http://schemas.microsoft.com/office/word/2010/wordprocessingGroup">
                    <wpg:wgp>
                      <wpg:cNvGrpSpPr/>
                      <wpg:grpSpPr>
                        <a:xfrm>
                          <a:off x="0" y="0"/>
                          <a:ext cx="6461760" cy="3681984"/>
                          <a:chOff x="0" y="0"/>
                          <a:chExt cx="6461760" cy="3681984"/>
                        </a:xfrm>
                      </wpg:grpSpPr>
                      <pic:pic xmlns:pic="http://schemas.openxmlformats.org/drawingml/2006/picture">
                        <pic:nvPicPr>
                          <pic:cNvPr id="10" name="Picture 10"/>
                          <pic:cNvPicPr/>
                        </pic:nvPicPr>
                        <pic:blipFill>
                          <a:blip r:embed="rId8"/>
                          <a:stretch>
                            <a:fillRect/>
                          </a:stretch>
                        </pic:blipFill>
                        <pic:spPr>
                          <a:xfrm>
                            <a:off x="0" y="0"/>
                            <a:ext cx="6461760" cy="1228344"/>
                          </a:xfrm>
                          <a:prstGeom prst="rect">
                            <a:avLst/>
                          </a:prstGeom>
                        </pic:spPr>
                      </pic:pic>
                      <pic:pic xmlns:pic="http://schemas.openxmlformats.org/drawingml/2006/picture">
                        <pic:nvPicPr>
                          <pic:cNvPr id="12" name="Picture 12"/>
                          <pic:cNvPicPr/>
                        </pic:nvPicPr>
                        <pic:blipFill>
                          <a:blip r:embed="rId9"/>
                          <a:stretch>
                            <a:fillRect/>
                          </a:stretch>
                        </pic:blipFill>
                        <pic:spPr>
                          <a:xfrm>
                            <a:off x="0" y="1228344"/>
                            <a:ext cx="6461760" cy="1228344"/>
                          </a:xfrm>
                          <a:prstGeom prst="rect">
                            <a:avLst/>
                          </a:prstGeom>
                        </pic:spPr>
                      </pic:pic>
                      <pic:pic xmlns:pic="http://schemas.openxmlformats.org/drawingml/2006/picture">
                        <pic:nvPicPr>
                          <pic:cNvPr id="14" name="Picture 14"/>
                          <pic:cNvPicPr/>
                        </pic:nvPicPr>
                        <pic:blipFill>
                          <a:blip r:embed="rId10"/>
                          <a:stretch>
                            <a:fillRect/>
                          </a:stretch>
                        </pic:blipFill>
                        <pic:spPr>
                          <a:xfrm>
                            <a:off x="0" y="2456688"/>
                            <a:ext cx="6461760" cy="1225296"/>
                          </a:xfrm>
                          <a:prstGeom prst="rect">
                            <a:avLst/>
                          </a:prstGeom>
                        </pic:spPr>
                      </pic:pic>
                      <wps:wsp>
                        <wps:cNvPr id="13087" name="Shape 13087"/>
                        <wps:cNvSpPr/>
                        <wps:spPr>
                          <a:xfrm>
                            <a:off x="24384" y="25907"/>
                            <a:ext cx="6356604" cy="3576828"/>
                          </a:xfrm>
                          <a:custGeom>
                            <a:avLst/>
                            <a:gdLst/>
                            <a:ahLst/>
                            <a:cxnLst/>
                            <a:rect l="0" t="0" r="0" b="0"/>
                            <a:pathLst>
                              <a:path w="6356604" h="3576828">
                                <a:moveTo>
                                  <a:pt x="0" y="0"/>
                                </a:moveTo>
                                <a:lnTo>
                                  <a:pt x="6356604" y="0"/>
                                </a:lnTo>
                                <a:lnTo>
                                  <a:pt x="6356604" y="3576828"/>
                                </a:lnTo>
                                <a:lnTo>
                                  <a:pt x="0" y="3576828"/>
                                </a:lnTo>
                                <a:lnTo>
                                  <a:pt x="0" y="0"/>
                                </a:lnTo>
                              </a:path>
                            </a:pathLst>
                          </a:custGeom>
                          <a:ln w="0" cap="flat">
                            <a:miter lim="127000"/>
                          </a:ln>
                        </wps:spPr>
                        <wps:style>
                          <a:lnRef idx="0">
                            <a:srgbClr val="000000">
                              <a:alpha val="0"/>
                            </a:srgbClr>
                          </a:lnRef>
                          <a:fillRef idx="1">
                            <a:srgbClr val="2F5597"/>
                          </a:fillRef>
                          <a:effectRef idx="0">
                            <a:scrgbClr r="0" g="0" b="0"/>
                          </a:effectRef>
                          <a:fontRef idx="none"/>
                        </wps:style>
                        <wps:bodyPr/>
                      </wps:wsp>
                      <pic:pic xmlns:pic="http://schemas.openxmlformats.org/drawingml/2006/picture">
                        <pic:nvPicPr>
                          <pic:cNvPr id="17" name="Picture 17"/>
                          <pic:cNvPicPr/>
                        </pic:nvPicPr>
                        <pic:blipFill>
                          <a:blip r:embed="rId11"/>
                          <a:stretch>
                            <a:fillRect/>
                          </a:stretch>
                        </pic:blipFill>
                        <pic:spPr>
                          <a:xfrm>
                            <a:off x="28956" y="76199"/>
                            <a:ext cx="6348984" cy="3480816"/>
                          </a:xfrm>
                          <a:prstGeom prst="rect">
                            <a:avLst/>
                          </a:prstGeom>
                        </pic:spPr>
                      </pic:pic>
                    </wpg:wgp>
                  </a:graphicData>
                </a:graphic>
              </wp:anchor>
            </w:drawing>
          </mc:Choice>
          <mc:Fallback xmlns:a="http://schemas.openxmlformats.org/drawingml/2006/main">
            <w:pict>
              <v:group id="Group 9560" style="width:508.8pt;height:289.92pt;position:absolute;z-index:-2147483644;mso-position-horizontal-relative:text;mso-position-horizontal:absolute;margin-left:-4.12716pt;mso-position-vertical-relative:text;margin-top:-207.026pt;" coordsize="64617,36819">
                <v:shape id="Picture 10" style="position:absolute;width:64617;height:12283;left:0;top:0;" filled="f">
                  <v:imagedata r:id="rId12"/>
                </v:shape>
                <v:shape id="Picture 12" style="position:absolute;width:64617;height:12283;left:0;top:12283;" filled="f">
                  <v:imagedata r:id="rId13"/>
                </v:shape>
                <v:shape id="Picture 14" style="position:absolute;width:64617;height:12252;left:0;top:24566;" filled="f">
                  <v:imagedata r:id="rId14"/>
                </v:shape>
                <v:shape id="Shape 13088" style="position:absolute;width:63566;height:35768;left:243;top:259;" coordsize="6356604,3576828" path="m0,0l6356604,0l6356604,3576828l0,3576828l0,0">
                  <v:stroke weight="0pt" endcap="flat" joinstyle="miter" miterlimit="10" on="false" color="#000000" opacity="0"/>
                  <v:fill on="true" color="#2f5597"/>
                </v:shape>
                <v:shape id="Picture 17" style="position:absolute;width:63489;height:34808;left:289;top:761;" filled="f">
                  <v:imagedata r:id="rId15"/>
                </v:shape>
              </v:group>
            </w:pict>
          </mc:Fallback>
        </mc:AlternateContent>
      </w:r>
      <w:r>
        <w:rPr>
          <w:color w:val="FFFFFF"/>
        </w:rPr>
        <w:t>στον Πολυώροφο Χώρο Στάθμευσης Οχημάτων (MSP) και στον Βορειοδυτικό Χώρο Στάθμευσης Αεροσκαφών (NWA) να βρίσκονται σε εξέλιξη. Η διαγωνιστική διαδικασία για την επέκταση της Νότιας Πτέρυγας</w:t>
      </w:r>
      <w:r>
        <w:rPr>
          <w:color w:val="FFFFFF"/>
          <w:sz w:val="21"/>
        </w:rPr>
        <w:t xml:space="preserve"> </w:t>
      </w:r>
      <w:r>
        <w:rPr>
          <w:sz w:val="21"/>
        </w:rPr>
        <w:t xml:space="preserve"> </w:t>
      </w:r>
      <w:r>
        <w:rPr>
          <w:color w:val="FFFFFF"/>
        </w:rPr>
        <w:t xml:space="preserve">του Κυρίου </w:t>
      </w:r>
      <w:proofErr w:type="spellStart"/>
      <w:r>
        <w:rPr>
          <w:color w:val="FFFFFF"/>
        </w:rPr>
        <w:t>Αεροσταθμού</w:t>
      </w:r>
      <w:proofErr w:type="spellEnd"/>
      <w:r>
        <w:rPr>
          <w:color w:val="FFFFFF"/>
        </w:rPr>
        <w:t xml:space="preserve"> (</w:t>
      </w:r>
      <w:proofErr w:type="spellStart"/>
      <w:r>
        <w:rPr>
          <w:color w:val="FFFFFF"/>
        </w:rPr>
        <w:t>South</w:t>
      </w:r>
      <w:proofErr w:type="spellEnd"/>
      <w:r>
        <w:rPr>
          <w:color w:val="FFFFFF"/>
        </w:rPr>
        <w:t xml:space="preserve"> </w:t>
      </w:r>
      <w:proofErr w:type="spellStart"/>
      <w:r>
        <w:rPr>
          <w:color w:val="FFFFFF"/>
        </w:rPr>
        <w:t>Pier</w:t>
      </w:r>
      <w:proofErr w:type="spellEnd"/>
      <w:r>
        <w:rPr>
          <w:color w:val="FFFFFF"/>
        </w:rPr>
        <w:t xml:space="preserve">) ξεκίνησε τον Οκτώβριο του 2026, ενώ συνεχίζονται οι προετοιμασίες για τις επόμενες φάσεις ανάπτυξης, σύμφωνα με την αναθεωρημένη, τμηματική και ευέλικτη στρατηγική επέκτασης της Εταιρείας. </w:t>
      </w:r>
    </w:p>
    <w:p w14:paraId="1EC03A1E" w14:textId="77777777" w:rsidR="00800A72" w:rsidRDefault="00000000">
      <w:pPr>
        <w:spacing w:after="264" w:line="259" w:lineRule="auto"/>
        <w:ind w:left="196" w:right="0" w:firstLine="0"/>
        <w:jc w:val="left"/>
      </w:pPr>
      <w:r>
        <w:rPr>
          <w:color w:val="FFFFFF"/>
        </w:rPr>
        <w:t xml:space="preserve"> </w:t>
      </w:r>
    </w:p>
    <w:p w14:paraId="4F82450C" w14:textId="77777777" w:rsidR="00800A72" w:rsidRDefault="00000000">
      <w:pPr>
        <w:spacing w:after="504" w:line="259" w:lineRule="auto"/>
        <w:ind w:left="196" w:right="0" w:firstLine="0"/>
        <w:jc w:val="left"/>
      </w:pPr>
      <w:r>
        <w:rPr>
          <w:color w:val="FFFFFF"/>
        </w:rPr>
        <w:t xml:space="preserve"> </w:t>
      </w:r>
    </w:p>
    <w:p w14:paraId="539FC762" w14:textId="77777777" w:rsidR="00800A72" w:rsidRDefault="00000000">
      <w:pPr>
        <w:spacing w:after="0" w:line="259" w:lineRule="auto"/>
        <w:ind w:left="13" w:right="0" w:firstLine="0"/>
        <w:jc w:val="left"/>
      </w:pPr>
      <w:r>
        <w:rPr>
          <w:rFonts w:ascii="Calibri" w:eastAsia="Calibri" w:hAnsi="Calibri" w:cs="Calibri"/>
          <w:noProof/>
          <w:sz w:val="22"/>
        </w:rPr>
        <mc:AlternateContent>
          <mc:Choice Requires="wpg">
            <w:drawing>
              <wp:inline distT="0" distB="0" distL="0" distR="0" wp14:anchorId="1B7530A6" wp14:editId="79D81203">
                <wp:extent cx="1780032" cy="9144"/>
                <wp:effectExtent l="0" t="0" r="0" b="0"/>
                <wp:docPr id="9561" name="Group 9561"/>
                <wp:cNvGraphicFramePr/>
                <a:graphic xmlns:a="http://schemas.openxmlformats.org/drawingml/2006/main">
                  <a:graphicData uri="http://schemas.microsoft.com/office/word/2010/wordprocessingGroup">
                    <wpg:wgp>
                      <wpg:cNvGrpSpPr/>
                      <wpg:grpSpPr>
                        <a:xfrm>
                          <a:off x="0" y="0"/>
                          <a:ext cx="1780032" cy="9144"/>
                          <a:chOff x="0" y="0"/>
                          <a:chExt cx="1780032" cy="9144"/>
                        </a:xfrm>
                      </wpg:grpSpPr>
                      <wps:wsp>
                        <wps:cNvPr id="13089" name="Shape 13089"/>
                        <wps:cNvSpPr/>
                        <wps:spPr>
                          <a:xfrm>
                            <a:off x="0" y="0"/>
                            <a:ext cx="1780032" cy="9144"/>
                          </a:xfrm>
                          <a:custGeom>
                            <a:avLst/>
                            <a:gdLst/>
                            <a:ahLst/>
                            <a:cxnLst/>
                            <a:rect l="0" t="0" r="0" b="0"/>
                            <a:pathLst>
                              <a:path w="1780032" h="9144">
                                <a:moveTo>
                                  <a:pt x="0" y="0"/>
                                </a:moveTo>
                                <a:lnTo>
                                  <a:pt x="1780032" y="0"/>
                                </a:lnTo>
                                <a:lnTo>
                                  <a:pt x="17800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9561" style="width:140.16pt;height:0.720032pt;mso-position-horizontal-relative:char;mso-position-vertical-relative:line" coordsize="17800,91">
                <v:shape id="Shape 13090" style="position:absolute;width:17800;height:91;left:0;top:0;" coordsize="1780032,9144" path="m0,0l1780032,0l1780032,9144l0,9144l0,0">
                  <v:stroke weight="0pt" endcap="flat" joinstyle="miter" miterlimit="10" on="false" color="#000000" opacity="0"/>
                  <v:fill on="true" color="#000000"/>
                </v:shape>
              </v:group>
            </w:pict>
          </mc:Fallback>
        </mc:AlternateContent>
      </w:r>
      <w:r>
        <w:rPr>
          <w:sz w:val="21"/>
        </w:rPr>
        <w:t xml:space="preserve"> </w:t>
      </w:r>
    </w:p>
    <w:p w14:paraId="33B0D544" w14:textId="77777777" w:rsidR="00800A72" w:rsidRDefault="00000000">
      <w:pPr>
        <w:numPr>
          <w:ilvl w:val="0"/>
          <w:numId w:val="2"/>
        </w:numPr>
        <w:spacing w:after="4" w:line="256" w:lineRule="auto"/>
        <w:ind w:right="0" w:hanging="111"/>
      </w:pPr>
      <w:r>
        <w:rPr>
          <w:sz w:val="17"/>
        </w:rPr>
        <w:t xml:space="preserve">Τα συνολικά έσοδα και λοιπά εισοδήματα, καθώς και τα λειτουργικά έξοδα δεν περιλαμβάνουν το κόστος σχεδιασμού και κατασκευής του </w:t>
      </w:r>
    </w:p>
    <w:p w14:paraId="21F2634D" w14:textId="77777777" w:rsidR="00800A72" w:rsidRDefault="00000000">
      <w:pPr>
        <w:spacing w:after="4" w:line="256" w:lineRule="auto"/>
        <w:ind w:left="-2" w:right="0" w:firstLine="1"/>
      </w:pPr>
      <w:r>
        <w:rPr>
          <w:sz w:val="17"/>
        </w:rPr>
        <w:t>Προγράμματος Επέκτασης του Αεροδρομίου (</w:t>
      </w:r>
      <w:proofErr w:type="spellStart"/>
      <w:r>
        <w:rPr>
          <w:sz w:val="17"/>
        </w:rPr>
        <w:t>Airport</w:t>
      </w:r>
      <w:proofErr w:type="spellEnd"/>
      <w:r>
        <w:rPr>
          <w:sz w:val="17"/>
        </w:rPr>
        <w:t xml:space="preserve"> </w:t>
      </w:r>
      <w:proofErr w:type="spellStart"/>
      <w:r>
        <w:rPr>
          <w:sz w:val="17"/>
        </w:rPr>
        <w:t>Expansion</w:t>
      </w:r>
      <w:proofErr w:type="spellEnd"/>
      <w:r>
        <w:rPr>
          <w:sz w:val="17"/>
        </w:rPr>
        <w:t xml:space="preserve"> </w:t>
      </w:r>
      <w:proofErr w:type="spellStart"/>
      <w:r>
        <w:rPr>
          <w:sz w:val="17"/>
        </w:rPr>
        <w:t>Program</w:t>
      </w:r>
      <w:proofErr w:type="spellEnd"/>
      <w:r>
        <w:rPr>
          <w:sz w:val="17"/>
        </w:rPr>
        <w:t xml:space="preserve"> – AEP) συνολικού ποσού €42,2 εκατ. για κάθε λογαριασμό. Σύμφωνα με το IFRIC 12, το κόστος της επέκτασης του αεροδρομίου </w:t>
      </w:r>
      <w:proofErr w:type="spellStart"/>
      <w:r>
        <w:rPr>
          <w:sz w:val="17"/>
        </w:rPr>
        <w:t>λογιστικοποιείται</w:t>
      </w:r>
      <w:proofErr w:type="spellEnd"/>
      <w:r>
        <w:rPr>
          <w:sz w:val="17"/>
        </w:rPr>
        <w:t xml:space="preserve"> βάσει του μοντέλου του άυλου περιουσιακού στοιχείου, το οποίο απαιτεί από την Εταιρεία να αναγνωρίζει τα έσοδα και τα έξοδα από τις παρεχόμενες κατασκευαστικές υπηρεσίες, καθώς ο κύριος της παραχώρησης διατηρεί τον έλεγχο των περιουσιακών στοιχείων των υποδομών. Η αποτίμηση γίνεται στην εύλογη αξία, χωρίς κάποιο περιθώριο κέρδους, με αποτέλεσμα να μην υπάρχει επίπτωση στην κερδοφορία (βλ. σημείωση 2.4.1 των Ετήσιων Οικονομικών Καταστάσεων 2025 για περισσότερες πληροφορίες).</w:t>
      </w:r>
      <w:r>
        <w:t xml:space="preserve"> </w:t>
      </w:r>
    </w:p>
    <w:p w14:paraId="6AD85364" w14:textId="77777777" w:rsidR="00800A72" w:rsidRDefault="00000000">
      <w:pPr>
        <w:numPr>
          <w:ilvl w:val="0"/>
          <w:numId w:val="2"/>
        </w:numPr>
        <w:spacing w:after="4" w:line="256" w:lineRule="auto"/>
        <w:ind w:right="0" w:hanging="111"/>
      </w:pPr>
      <w:r>
        <w:rPr>
          <w:sz w:val="17"/>
        </w:rPr>
        <w:t xml:space="preserve">Κέρδη Προ Φόρων, Τόκων και Αποσβέσεων. </w:t>
      </w:r>
    </w:p>
    <w:p w14:paraId="08041C0B" w14:textId="77777777" w:rsidR="00800A72" w:rsidRDefault="00000000">
      <w:pPr>
        <w:numPr>
          <w:ilvl w:val="0"/>
          <w:numId w:val="2"/>
        </w:numPr>
        <w:spacing w:after="4" w:line="256" w:lineRule="auto"/>
        <w:ind w:right="0" w:hanging="111"/>
      </w:pPr>
      <w:r>
        <w:rPr>
          <w:sz w:val="17"/>
        </w:rPr>
        <w:t xml:space="preserve">Υπολογίζεται συμπεριλαμβάνοντας την αρνητική επίπτωση του σταθερού ετήσιου ποσού της Αμοιβής για τη χορήγηση Δικαιωμάτων (15 εκατ. ευρώ ετησίως). </w:t>
      </w:r>
    </w:p>
    <w:p w14:paraId="20B47716" w14:textId="77777777" w:rsidR="00800A72" w:rsidRDefault="00000000">
      <w:pPr>
        <w:numPr>
          <w:ilvl w:val="0"/>
          <w:numId w:val="2"/>
        </w:numPr>
        <w:spacing w:after="31" w:line="256" w:lineRule="auto"/>
        <w:ind w:right="0" w:hanging="111"/>
      </w:pPr>
      <w:r>
        <w:rPr>
          <w:sz w:val="17"/>
        </w:rPr>
        <w:lastRenderedPageBreak/>
        <w:t xml:space="preserve">Σύμφωνα με τη Σύμβαση Ανάπτυξης Αεροδρομίου (ΣΑΑ), το Μεταφερόμενο Ποσό Αεροπορικών Δραστηριοτήτων προκύπτει από κέρδη μη </w:t>
      </w:r>
      <w:proofErr w:type="spellStart"/>
      <w:r>
        <w:rPr>
          <w:sz w:val="17"/>
        </w:rPr>
        <w:t>πραγματοποιηθέντα</w:t>
      </w:r>
      <w:proofErr w:type="spellEnd"/>
      <w:r>
        <w:rPr>
          <w:sz w:val="17"/>
        </w:rPr>
        <w:t xml:space="preserve"> σε μια περίοδο, που μεταφέρονται αναπροσαρμοσμένα με τον πληθωρισμό ΕΕ προς ανάκτηση σε επόμενες περιόδους. </w:t>
      </w:r>
    </w:p>
    <w:p w14:paraId="46495D76" w14:textId="77777777" w:rsidR="00800A72" w:rsidRDefault="00000000">
      <w:pPr>
        <w:spacing w:after="25" w:line="259" w:lineRule="auto"/>
        <w:ind w:left="193" w:right="0" w:firstLine="0"/>
        <w:jc w:val="left"/>
      </w:pPr>
      <w:r>
        <w:rPr>
          <w:color w:val="FFFFFF"/>
        </w:rPr>
        <w:t xml:space="preserve"> </w:t>
      </w:r>
    </w:p>
    <w:tbl>
      <w:tblPr>
        <w:tblStyle w:val="TableGrid"/>
        <w:tblW w:w="9972" w:type="dxa"/>
        <w:tblInd w:w="11" w:type="dxa"/>
        <w:tblCellMar>
          <w:top w:w="0" w:type="dxa"/>
          <w:left w:w="0" w:type="dxa"/>
          <w:bottom w:w="0" w:type="dxa"/>
          <w:right w:w="0" w:type="dxa"/>
        </w:tblCellMar>
        <w:tblLook w:val="04A0" w:firstRow="1" w:lastRow="0" w:firstColumn="1" w:lastColumn="0" w:noHBand="0" w:noVBand="1"/>
      </w:tblPr>
      <w:tblGrid>
        <w:gridCol w:w="8409"/>
        <w:gridCol w:w="560"/>
        <w:gridCol w:w="798"/>
        <w:gridCol w:w="865"/>
        <w:gridCol w:w="674"/>
      </w:tblGrid>
      <w:tr w:rsidR="00800A72" w14:paraId="0FADC619" w14:textId="77777777">
        <w:trPr>
          <w:trHeight w:val="377"/>
        </w:trPr>
        <w:tc>
          <w:tcPr>
            <w:tcW w:w="4872" w:type="dxa"/>
            <w:tcBorders>
              <w:top w:val="nil"/>
              <w:left w:val="nil"/>
              <w:bottom w:val="nil"/>
              <w:right w:val="nil"/>
            </w:tcBorders>
            <w:shd w:val="clear" w:color="auto" w:fill="305496"/>
          </w:tcPr>
          <w:p w14:paraId="079342E0" w14:textId="77777777" w:rsidR="00800A72" w:rsidRDefault="00000000">
            <w:pPr>
              <w:spacing w:after="0" w:line="259" w:lineRule="auto"/>
              <w:ind w:left="106" w:right="0" w:firstLine="0"/>
              <w:jc w:val="left"/>
            </w:pPr>
            <w:r>
              <w:rPr>
                <w:color w:val="FFFFFF"/>
              </w:rPr>
              <w:t>Σύνοψη</w:t>
            </w:r>
            <w:r>
              <w:rPr>
                <w:color w:val="FFFFFF"/>
                <w:vertAlign w:val="superscript"/>
              </w:rPr>
              <w:footnoteReference w:id="1"/>
            </w:r>
            <w:r>
              <w:rPr>
                <w:color w:val="FFFFFF"/>
              </w:rPr>
              <w:t xml:space="preserve"> </w:t>
            </w:r>
          </w:p>
        </w:tc>
        <w:tc>
          <w:tcPr>
            <w:tcW w:w="1277" w:type="dxa"/>
            <w:tcBorders>
              <w:top w:val="nil"/>
              <w:left w:val="nil"/>
              <w:bottom w:val="nil"/>
              <w:right w:val="nil"/>
            </w:tcBorders>
            <w:shd w:val="clear" w:color="auto" w:fill="305496"/>
          </w:tcPr>
          <w:p w14:paraId="37793808" w14:textId="77777777" w:rsidR="00800A72" w:rsidRDefault="00000000">
            <w:pPr>
              <w:spacing w:after="0" w:line="259" w:lineRule="auto"/>
              <w:ind w:left="286" w:right="0" w:firstLine="0"/>
              <w:jc w:val="left"/>
            </w:pPr>
            <w:r>
              <w:t xml:space="preserve">  </w:t>
            </w:r>
          </w:p>
        </w:tc>
        <w:tc>
          <w:tcPr>
            <w:tcW w:w="1147" w:type="dxa"/>
            <w:tcBorders>
              <w:top w:val="nil"/>
              <w:left w:val="nil"/>
              <w:bottom w:val="nil"/>
              <w:right w:val="nil"/>
            </w:tcBorders>
            <w:shd w:val="clear" w:color="auto" w:fill="305496"/>
          </w:tcPr>
          <w:p w14:paraId="40676EA3" w14:textId="77777777" w:rsidR="00800A72" w:rsidRDefault="00000000">
            <w:pPr>
              <w:spacing w:after="0" w:line="259" w:lineRule="auto"/>
              <w:ind w:left="286" w:right="0" w:firstLine="0"/>
              <w:jc w:val="left"/>
            </w:pPr>
            <w:r>
              <w:t xml:space="preserve">  </w:t>
            </w:r>
          </w:p>
        </w:tc>
        <w:tc>
          <w:tcPr>
            <w:tcW w:w="1839" w:type="dxa"/>
            <w:tcBorders>
              <w:top w:val="nil"/>
              <w:left w:val="nil"/>
              <w:bottom w:val="nil"/>
              <w:right w:val="nil"/>
            </w:tcBorders>
            <w:shd w:val="clear" w:color="auto" w:fill="305496"/>
          </w:tcPr>
          <w:p w14:paraId="5B0C33FC" w14:textId="77777777" w:rsidR="00800A72" w:rsidRDefault="00000000">
            <w:pPr>
              <w:spacing w:after="0" w:line="259" w:lineRule="auto"/>
              <w:ind w:left="415" w:right="0" w:firstLine="0"/>
              <w:jc w:val="left"/>
            </w:pPr>
            <w:r>
              <w:t xml:space="preserve">  </w:t>
            </w:r>
          </w:p>
        </w:tc>
        <w:tc>
          <w:tcPr>
            <w:tcW w:w="837" w:type="dxa"/>
            <w:tcBorders>
              <w:top w:val="nil"/>
              <w:left w:val="nil"/>
              <w:bottom w:val="nil"/>
              <w:right w:val="nil"/>
            </w:tcBorders>
            <w:shd w:val="clear" w:color="auto" w:fill="305496"/>
          </w:tcPr>
          <w:p w14:paraId="7E334367" w14:textId="77777777" w:rsidR="00800A72" w:rsidRDefault="00000000">
            <w:pPr>
              <w:spacing w:after="0" w:line="259" w:lineRule="auto"/>
              <w:ind w:left="11" w:right="0" w:firstLine="0"/>
              <w:jc w:val="left"/>
            </w:pPr>
            <w:r>
              <w:t xml:space="preserve">  </w:t>
            </w:r>
          </w:p>
        </w:tc>
      </w:tr>
      <w:tr w:rsidR="00800A72" w14:paraId="6C365CB0" w14:textId="77777777">
        <w:trPr>
          <w:trHeight w:val="296"/>
        </w:trPr>
        <w:tc>
          <w:tcPr>
            <w:tcW w:w="4872" w:type="dxa"/>
            <w:tcBorders>
              <w:top w:val="nil"/>
              <w:left w:val="nil"/>
              <w:bottom w:val="single" w:sz="8" w:space="0" w:color="D0CECE"/>
              <w:right w:val="nil"/>
            </w:tcBorders>
          </w:tcPr>
          <w:p w14:paraId="18957457" w14:textId="77777777" w:rsidR="00800A72" w:rsidRDefault="00000000">
            <w:pPr>
              <w:spacing w:after="0" w:line="259" w:lineRule="auto"/>
              <w:ind w:left="92" w:right="0" w:firstLine="0"/>
              <w:jc w:val="left"/>
            </w:pPr>
            <w:r>
              <w:rPr>
                <w:sz w:val="20"/>
              </w:rPr>
              <w:t xml:space="preserve">ποσά σε εκατομμύρια ευρώ </w:t>
            </w:r>
          </w:p>
        </w:tc>
        <w:tc>
          <w:tcPr>
            <w:tcW w:w="1277" w:type="dxa"/>
            <w:tcBorders>
              <w:top w:val="nil"/>
              <w:left w:val="nil"/>
              <w:bottom w:val="single" w:sz="8" w:space="0" w:color="D0CECE"/>
              <w:right w:val="nil"/>
            </w:tcBorders>
          </w:tcPr>
          <w:p w14:paraId="389CFD7B" w14:textId="77777777" w:rsidR="00800A72" w:rsidRDefault="00000000">
            <w:pPr>
              <w:spacing w:after="0" w:line="259" w:lineRule="auto"/>
              <w:ind w:left="0" w:right="0" w:firstLine="0"/>
              <w:jc w:val="left"/>
            </w:pPr>
            <w:r>
              <w:t xml:space="preserve">9M 2026 </w:t>
            </w:r>
          </w:p>
        </w:tc>
        <w:tc>
          <w:tcPr>
            <w:tcW w:w="1147" w:type="dxa"/>
            <w:tcBorders>
              <w:top w:val="nil"/>
              <w:left w:val="nil"/>
              <w:bottom w:val="single" w:sz="8" w:space="0" w:color="D0CECE"/>
              <w:right w:val="nil"/>
            </w:tcBorders>
          </w:tcPr>
          <w:p w14:paraId="79B52348" w14:textId="77777777" w:rsidR="00800A72" w:rsidRDefault="00000000">
            <w:pPr>
              <w:spacing w:after="0" w:line="259" w:lineRule="auto"/>
              <w:ind w:left="0" w:right="0" w:firstLine="0"/>
              <w:jc w:val="left"/>
            </w:pPr>
            <w:r>
              <w:t xml:space="preserve">9M 2025 </w:t>
            </w:r>
          </w:p>
        </w:tc>
        <w:tc>
          <w:tcPr>
            <w:tcW w:w="1839" w:type="dxa"/>
            <w:tcBorders>
              <w:top w:val="nil"/>
              <w:left w:val="nil"/>
              <w:bottom w:val="single" w:sz="8" w:space="0" w:color="D0CECE"/>
              <w:right w:val="nil"/>
            </w:tcBorders>
          </w:tcPr>
          <w:p w14:paraId="35178BED" w14:textId="77777777" w:rsidR="00800A72" w:rsidRDefault="00000000">
            <w:pPr>
              <w:spacing w:after="0" w:line="259" w:lineRule="auto"/>
              <w:ind w:left="0" w:right="0" w:firstLine="0"/>
              <w:jc w:val="left"/>
            </w:pPr>
            <w:r>
              <w:t xml:space="preserve">Μεταβολή </w:t>
            </w:r>
          </w:p>
        </w:tc>
        <w:tc>
          <w:tcPr>
            <w:tcW w:w="837" w:type="dxa"/>
            <w:tcBorders>
              <w:top w:val="nil"/>
              <w:left w:val="nil"/>
              <w:bottom w:val="single" w:sz="8" w:space="0" w:color="D0CECE"/>
              <w:right w:val="nil"/>
            </w:tcBorders>
          </w:tcPr>
          <w:p w14:paraId="635FC5DB" w14:textId="77777777" w:rsidR="00800A72" w:rsidRDefault="00000000">
            <w:pPr>
              <w:spacing w:after="0" w:line="259" w:lineRule="auto"/>
              <w:ind w:left="0" w:right="109" w:firstLine="0"/>
              <w:jc w:val="right"/>
            </w:pPr>
            <w:r>
              <w:t xml:space="preserve">Δ% </w:t>
            </w:r>
          </w:p>
        </w:tc>
      </w:tr>
      <w:tr w:rsidR="00800A72" w14:paraId="390C785A" w14:textId="77777777">
        <w:trPr>
          <w:trHeight w:val="296"/>
        </w:trPr>
        <w:tc>
          <w:tcPr>
            <w:tcW w:w="4872" w:type="dxa"/>
            <w:tcBorders>
              <w:top w:val="single" w:sz="8" w:space="0" w:color="D0CECE"/>
              <w:left w:val="nil"/>
              <w:bottom w:val="single" w:sz="8" w:space="0" w:color="D0CECE"/>
              <w:right w:val="nil"/>
            </w:tcBorders>
            <w:shd w:val="clear" w:color="auto" w:fill="E2E8F6"/>
          </w:tcPr>
          <w:p w14:paraId="7C8ECEFC" w14:textId="77777777" w:rsidR="00800A72" w:rsidRDefault="00000000">
            <w:pPr>
              <w:spacing w:after="0" w:line="259" w:lineRule="auto"/>
              <w:ind w:left="106" w:right="0" w:firstLine="0"/>
              <w:jc w:val="left"/>
            </w:pPr>
            <w:r>
              <w:t xml:space="preserve">Επιβατική κίνηση (σε εκατ. επιβάτες) </w:t>
            </w:r>
          </w:p>
        </w:tc>
        <w:tc>
          <w:tcPr>
            <w:tcW w:w="1277" w:type="dxa"/>
            <w:tcBorders>
              <w:top w:val="single" w:sz="8" w:space="0" w:color="D0CECE"/>
              <w:left w:val="nil"/>
              <w:bottom w:val="single" w:sz="8" w:space="0" w:color="D0CECE"/>
              <w:right w:val="nil"/>
            </w:tcBorders>
            <w:shd w:val="clear" w:color="auto" w:fill="E2E8F6"/>
          </w:tcPr>
          <w:p w14:paraId="0DA78DEA" w14:textId="77777777" w:rsidR="00800A72" w:rsidRDefault="00000000">
            <w:pPr>
              <w:spacing w:after="0" w:line="259" w:lineRule="auto"/>
              <w:ind w:left="0" w:right="6" w:firstLine="0"/>
              <w:jc w:val="center"/>
            </w:pPr>
            <w:r>
              <w:t xml:space="preserve">27,3  </w:t>
            </w:r>
          </w:p>
        </w:tc>
        <w:tc>
          <w:tcPr>
            <w:tcW w:w="1147" w:type="dxa"/>
            <w:tcBorders>
              <w:top w:val="single" w:sz="8" w:space="0" w:color="D0CECE"/>
              <w:left w:val="nil"/>
              <w:bottom w:val="single" w:sz="8" w:space="0" w:color="D0CECE"/>
              <w:right w:val="nil"/>
            </w:tcBorders>
            <w:shd w:val="clear" w:color="auto" w:fill="E2E8F6"/>
          </w:tcPr>
          <w:p w14:paraId="6FFC00ED" w14:textId="77777777" w:rsidR="00800A72" w:rsidRDefault="00000000">
            <w:pPr>
              <w:spacing w:after="0" w:line="259" w:lineRule="auto"/>
              <w:ind w:left="418" w:right="0" w:firstLine="0"/>
              <w:jc w:val="left"/>
            </w:pPr>
            <w:r>
              <w:t xml:space="preserve">26,2  </w:t>
            </w:r>
          </w:p>
        </w:tc>
        <w:tc>
          <w:tcPr>
            <w:tcW w:w="1839" w:type="dxa"/>
            <w:tcBorders>
              <w:top w:val="single" w:sz="8" w:space="0" w:color="D0CECE"/>
              <w:left w:val="nil"/>
              <w:bottom w:val="single" w:sz="8" w:space="0" w:color="D0CECE"/>
              <w:right w:val="nil"/>
            </w:tcBorders>
            <w:shd w:val="clear" w:color="auto" w:fill="E2E8F6"/>
          </w:tcPr>
          <w:p w14:paraId="31BC89C5" w14:textId="77777777" w:rsidR="00800A72" w:rsidRDefault="00000000">
            <w:pPr>
              <w:spacing w:after="0" w:line="259" w:lineRule="auto"/>
              <w:ind w:left="0" w:right="149" w:firstLine="0"/>
              <w:jc w:val="center"/>
            </w:pPr>
            <w:r>
              <w:rPr>
                <w:sz w:val="20"/>
              </w:rPr>
              <w:t xml:space="preserve">1,1  </w:t>
            </w:r>
          </w:p>
        </w:tc>
        <w:tc>
          <w:tcPr>
            <w:tcW w:w="837" w:type="dxa"/>
            <w:tcBorders>
              <w:top w:val="single" w:sz="8" w:space="0" w:color="D0CECE"/>
              <w:left w:val="nil"/>
              <w:bottom w:val="single" w:sz="8" w:space="0" w:color="D0CECE"/>
              <w:right w:val="nil"/>
            </w:tcBorders>
            <w:shd w:val="clear" w:color="auto" w:fill="E2E8F6"/>
          </w:tcPr>
          <w:p w14:paraId="28FE2635" w14:textId="77777777" w:rsidR="00800A72" w:rsidRDefault="00000000">
            <w:pPr>
              <w:spacing w:after="0" w:line="259" w:lineRule="auto"/>
              <w:ind w:left="178" w:right="0" w:firstLine="0"/>
            </w:pPr>
            <w:r>
              <w:rPr>
                <w:sz w:val="20"/>
              </w:rPr>
              <w:t xml:space="preserve">4,3% </w:t>
            </w:r>
          </w:p>
        </w:tc>
      </w:tr>
      <w:tr w:rsidR="00800A72" w14:paraId="098337D6" w14:textId="77777777">
        <w:trPr>
          <w:trHeight w:val="305"/>
        </w:trPr>
        <w:tc>
          <w:tcPr>
            <w:tcW w:w="4872" w:type="dxa"/>
            <w:tcBorders>
              <w:top w:val="single" w:sz="8" w:space="0" w:color="D0CECE"/>
              <w:left w:val="nil"/>
              <w:bottom w:val="single" w:sz="8" w:space="0" w:color="D0CECE"/>
              <w:right w:val="nil"/>
            </w:tcBorders>
          </w:tcPr>
          <w:p w14:paraId="2E71D7E8" w14:textId="77777777" w:rsidR="00800A72" w:rsidRDefault="00000000">
            <w:pPr>
              <w:spacing w:after="0" w:line="259" w:lineRule="auto"/>
              <w:ind w:left="106" w:right="0" w:firstLine="0"/>
              <w:jc w:val="left"/>
            </w:pPr>
            <w:r>
              <w:t xml:space="preserve">Συνολικά έσοδα και λοιπά εισοδήματα </w:t>
            </w:r>
          </w:p>
        </w:tc>
        <w:tc>
          <w:tcPr>
            <w:tcW w:w="1277" w:type="dxa"/>
            <w:tcBorders>
              <w:top w:val="single" w:sz="8" w:space="0" w:color="D0CECE"/>
              <w:left w:val="nil"/>
              <w:bottom w:val="single" w:sz="8" w:space="0" w:color="D0CECE"/>
              <w:right w:val="nil"/>
            </w:tcBorders>
          </w:tcPr>
          <w:p w14:paraId="6074B67F" w14:textId="77777777" w:rsidR="00800A72" w:rsidRDefault="00000000">
            <w:pPr>
              <w:spacing w:after="0" w:line="259" w:lineRule="auto"/>
              <w:ind w:left="0" w:right="132" w:firstLine="0"/>
              <w:jc w:val="center"/>
            </w:pPr>
            <w:r>
              <w:t xml:space="preserve">530,0  </w:t>
            </w:r>
          </w:p>
        </w:tc>
        <w:tc>
          <w:tcPr>
            <w:tcW w:w="1147" w:type="dxa"/>
            <w:tcBorders>
              <w:top w:val="single" w:sz="8" w:space="0" w:color="D0CECE"/>
              <w:left w:val="nil"/>
              <w:bottom w:val="single" w:sz="8" w:space="0" w:color="D0CECE"/>
              <w:right w:val="nil"/>
            </w:tcBorders>
          </w:tcPr>
          <w:p w14:paraId="788A1075" w14:textId="77777777" w:rsidR="00800A72" w:rsidRDefault="00000000">
            <w:pPr>
              <w:spacing w:after="0" w:line="259" w:lineRule="auto"/>
              <w:ind w:left="0" w:right="2" w:firstLine="0"/>
              <w:jc w:val="center"/>
            </w:pPr>
            <w:r>
              <w:t xml:space="preserve">526,9  </w:t>
            </w:r>
          </w:p>
        </w:tc>
        <w:tc>
          <w:tcPr>
            <w:tcW w:w="1839" w:type="dxa"/>
            <w:tcBorders>
              <w:top w:val="single" w:sz="8" w:space="0" w:color="D0CECE"/>
              <w:left w:val="nil"/>
              <w:bottom w:val="single" w:sz="8" w:space="0" w:color="D0CECE"/>
              <w:right w:val="nil"/>
            </w:tcBorders>
          </w:tcPr>
          <w:p w14:paraId="63A64F0A" w14:textId="77777777" w:rsidR="00800A72" w:rsidRDefault="00000000">
            <w:pPr>
              <w:spacing w:after="0" w:line="259" w:lineRule="auto"/>
              <w:ind w:left="0" w:right="149" w:firstLine="0"/>
              <w:jc w:val="center"/>
            </w:pPr>
            <w:r>
              <w:rPr>
                <w:sz w:val="20"/>
              </w:rPr>
              <w:t xml:space="preserve">3,1  </w:t>
            </w:r>
          </w:p>
        </w:tc>
        <w:tc>
          <w:tcPr>
            <w:tcW w:w="837" w:type="dxa"/>
            <w:tcBorders>
              <w:top w:val="single" w:sz="8" w:space="0" w:color="D0CECE"/>
              <w:left w:val="nil"/>
              <w:bottom w:val="single" w:sz="8" w:space="0" w:color="D0CECE"/>
              <w:right w:val="nil"/>
            </w:tcBorders>
          </w:tcPr>
          <w:p w14:paraId="7E331A41" w14:textId="77777777" w:rsidR="00800A72" w:rsidRDefault="00000000">
            <w:pPr>
              <w:spacing w:after="0" w:line="259" w:lineRule="auto"/>
              <w:ind w:left="178" w:right="0" w:firstLine="0"/>
            </w:pPr>
            <w:r>
              <w:rPr>
                <w:sz w:val="20"/>
              </w:rPr>
              <w:t xml:space="preserve">0,6% </w:t>
            </w:r>
          </w:p>
        </w:tc>
      </w:tr>
      <w:tr w:rsidR="00800A72" w14:paraId="18450628" w14:textId="77777777">
        <w:trPr>
          <w:trHeight w:val="302"/>
        </w:trPr>
        <w:tc>
          <w:tcPr>
            <w:tcW w:w="4872" w:type="dxa"/>
            <w:tcBorders>
              <w:top w:val="single" w:sz="8" w:space="0" w:color="D0CECE"/>
              <w:left w:val="nil"/>
              <w:bottom w:val="single" w:sz="8" w:space="0" w:color="D0CECE"/>
              <w:right w:val="nil"/>
            </w:tcBorders>
          </w:tcPr>
          <w:p w14:paraId="0A01C8EA" w14:textId="77777777" w:rsidR="00800A72" w:rsidRDefault="00000000">
            <w:pPr>
              <w:spacing w:after="0" w:line="259" w:lineRule="auto"/>
              <w:ind w:left="106" w:right="0" w:firstLine="0"/>
              <w:jc w:val="left"/>
            </w:pPr>
            <w:r>
              <w:t xml:space="preserve">Λειτουργικά έξοδα </w:t>
            </w:r>
          </w:p>
        </w:tc>
        <w:tc>
          <w:tcPr>
            <w:tcW w:w="1277" w:type="dxa"/>
            <w:tcBorders>
              <w:top w:val="single" w:sz="8" w:space="0" w:color="D0CECE"/>
              <w:left w:val="nil"/>
              <w:bottom w:val="single" w:sz="8" w:space="0" w:color="D0CECE"/>
              <w:right w:val="nil"/>
            </w:tcBorders>
          </w:tcPr>
          <w:p w14:paraId="01856705" w14:textId="77777777" w:rsidR="00800A72" w:rsidRDefault="00000000">
            <w:pPr>
              <w:spacing w:after="0" w:line="259" w:lineRule="auto"/>
              <w:ind w:left="0" w:right="54" w:firstLine="0"/>
              <w:jc w:val="center"/>
            </w:pPr>
            <w:r>
              <w:t xml:space="preserve">187,6  </w:t>
            </w:r>
          </w:p>
        </w:tc>
        <w:tc>
          <w:tcPr>
            <w:tcW w:w="1147" w:type="dxa"/>
            <w:tcBorders>
              <w:top w:val="single" w:sz="8" w:space="0" w:color="D0CECE"/>
              <w:left w:val="nil"/>
              <w:bottom w:val="single" w:sz="8" w:space="0" w:color="D0CECE"/>
              <w:right w:val="nil"/>
            </w:tcBorders>
          </w:tcPr>
          <w:p w14:paraId="75CDCC28" w14:textId="77777777" w:rsidR="00800A72" w:rsidRDefault="00000000">
            <w:pPr>
              <w:spacing w:after="0" w:line="259" w:lineRule="auto"/>
              <w:ind w:left="370" w:right="0" w:firstLine="0"/>
              <w:jc w:val="left"/>
            </w:pPr>
            <w:r>
              <w:t xml:space="preserve">180,1  </w:t>
            </w:r>
          </w:p>
        </w:tc>
        <w:tc>
          <w:tcPr>
            <w:tcW w:w="1839" w:type="dxa"/>
            <w:tcBorders>
              <w:top w:val="single" w:sz="8" w:space="0" w:color="D0CECE"/>
              <w:left w:val="nil"/>
              <w:bottom w:val="single" w:sz="8" w:space="0" w:color="D0CECE"/>
              <w:right w:val="nil"/>
            </w:tcBorders>
          </w:tcPr>
          <w:p w14:paraId="731E1437" w14:textId="77777777" w:rsidR="00800A72" w:rsidRDefault="00000000">
            <w:pPr>
              <w:spacing w:after="0" w:line="259" w:lineRule="auto"/>
              <w:ind w:left="0" w:right="108" w:firstLine="0"/>
              <w:jc w:val="center"/>
            </w:pPr>
            <w:r>
              <w:rPr>
                <w:sz w:val="20"/>
              </w:rPr>
              <w:t xml:space="preserve">7,5  </w:t>
            </w:r>
          </w:p>
        </w:tc>
        <w:tc>
          <w:tcPr>
            <w:tcW w:w="837" w:type="dxa"/>
            <w:tcBorders>
              <w:top w:val="single" w:sz="8" w:space="0" w:color="D0CECE"/>
              <w:left w:val="nil"/>
              <w:bottom w:val="single" w:sz="8" w:space="0" w:color="D0CECE"/>
              <w:right w:val="nil"/>
            </w:tcBorders>
          </w:tcPr>
          <w:p w14:paraId="63FA66C2" w14:textId="77777777" w:rsidR="00800A72" w:rsidRDefault="00000000">
            <w:pPr>
              <w:spacing w:after="0" w:line="259" w:lineRule="auto"/>
              <w:ind w:left="257" w:right="0" w:firstLine="0"/>
              <w:jc w:val="left"/>
            </w:pPr>
            <w:r>
              <w:rPr>
                <w:sz w:val="20"/>
              </w:rPr>
              <w:t xml:space="preserve">4,2% </w:t>
            </w:r>
          </w:p>
        </w:tc>
      </w:tr>
      <w:tr w:rsidR="00800A72" w14:paraId="24D4E290" w14:textId="77777777">
        <w:trPr>
          <w:trHeight w:val="264"/>
        </w:trPr>
        <w:tc>
          <w:tcPr>
            <w:tcW w:w="4872" w:type="dxa"/>
            <w:tcBorders>
              <w:top w:val="single" w:sz="8" w:space="0" w:color="D0CECE"/>
              <w:left w:val="nil"/>
              <w:bottom w:val="nil"/>
              <w:right w:val="nil"/>
            </w:tcBorders>
          </w:tcPr>
          <w:p w14:paraId="2B09F2AA" w14:textId="77777777" w:rsidR="00800A72" w:rsidRDefault="00000000">
            <w:pPr>
              <w:spacing w:after="0" w:line="259" w:lineRule="auto"/>
              <w:ind w:left="106" w:right="0" w:firstLine="0"/>
              <w:jc w:val="left"/>
            </w:pPr>
            <w:r>
              <w:rPr>
                <w:u w:val="single" w:color="D0CECE"/>
              </w:rPr>
              <w:t xml:space="preserve">EBITDA </w:t>
            </w:r>
          </w:p>
        </w:tc>
        <w:tc>
          <w:tcPr>
            <w:tcW w:w="1277" w:type="dxa"/>
            <w:tcBorders>
              <w:top w:val="single" w:sz="8" w:space="0" w:color="D0CECE"/>
              <w:left w:val="nil"/>
              <w:bottom w:val="nil"/>
              <w:right w:val="nil"/>
            </w:tcBorders>
          </w:tcPr>
          <w:p w14:paraId="37AF3E32" w14:textId="77777777" w:rsidR="00800A72" w:rsidRDefault="00000000">
            <w:pPr>
              <w:spacing w:after="0" w:line="259" w:lineRule="auto"/>
              <w:ind w:left="0" w:right="132" w:firstLine="0"/>
              <w:jc w:val="center"/>
            </w:pPr>
            <w:r>
              <w:rPr>
                <w:u w:val="single" w:color="D0CECE"/>
              </w:rPr>
              <w:t xml:space="preserve">342,5  </w:t>
            </w:r>
          </w:p>
        </w:tc>
        <w:tc>
          <w:tcPr>
            <w:tcW w:w="1147" w:type="dxa"/>
            <w:tcBorders>
              <w:top w:val="single" w:sz="8" w:space="0" w:color="D0CECE"/>
              <w:left w:val="nil"/>
              <w:bottom w:val="nil"/>
              <w:right w:val="nil"/>
            </w:tcBorders>
          </w:tcPr>
          <w:p w14:paraId="58F1E738" w14:textId="77777777" w:rsidR="00800A72" w:rsidRDefault="00000000">
            <w:pPr>
              <w:spacing w:after="0" w:line="259" w:lineRule="auto"/>
              <w:ind w:left="0" w:right="2" w:firstLine="0"/>
              <w:jc w:val="center"/>
            </w:pPr>
            <w:r>
              <w:rPr>
                <w:u w:val="single" w:color="D0CECE"/>
              </w:rPr>
              <w:t xml:space="preserve">346,9  </w:t>
            </w:r>
          </w:p>
        </w:tc>
        <w:tc>
          <w:tcPr>
            <w:tcW w:w="1839" w:type="dxa"/>
            <w:tcBorders>
              <w:top w:val="single" w:sz="8" w:space="0" w:color="D0CECE"/>
              <w:left w:val="nil"/>
              <w:bottom w:val="nil"/>
              <w:right w:val="nil"/>
            </w:tcBorders>
          </w:tcPr>
          <w:p w14:paraId="53402E21" w14:textId="77777777" w:rsidR="00800A72" w:rsidRDefault="00000000">
            <w:pPr>
              <w:spacing w:after="0" w:line="259" w:lineRule="auto"/>
              <w:ind w:left="481" w:right="0" w:firstLine="0"/>
              <w:jc w:val="left"/>
            </w:pPr>
            <w:r>
              <w:rPr>
                <w:sz w:val="20"/>
                <w:u w:val="single" w:color="D0CECE"/>
              </w:rPr>
              <w:t xml:space="preserve">(4,4) </w:t>
            </w:r>
          </w:p>
        </w:tc>
        <w:tc>
          <w:tcPr>
            <w:tcW w:w="837" w:type="dxa"/>
            <w:tcBorders>
              <w:top w:val="single" w:sz="8" w:space="0" w:color="D0CECE"/>
              <w:left w:val="nil"/>
              <w:bottom w:val="nil"/>
              <w:right w:val="nil"/>
            </w:tcBorders>
          </w:tcPr>
          <w:p w14:paraId="60367935" w14:textId="77777777" w:rsidR="00800A72" w:rsidRDefault="00000000">
            <w:pPr>
              <w:spacing w:after="0" w:line="259" w:lineRule="auto"/>
              <w:ind w:left="0" w:right="0" w:firstLine="0"/>
            </w:pPr>
            <w:r>
              <w:rPr>
                <w:sz w:val="20"/>
                <w:u w:val="single" w:color="D0CECE"/>
              </w:rPr>
              <w:t xml:space="preserve">(1,3%) </w:t>
            </w:r>
          </w:p>
        </w:tc>
      </w:tr>
      <w:tr w:rsidR="00800A72" w14:paraId="366E91A5" w14:textId="77777777">
        <w:trPr>
          <w:trHeight w:val="290"/>
        </w:trPr>
        <w:tc>
          <w:tcPr>
            <w:tcW w:w="4872" w:type="dxa"/>
            <w:tcBorders>
              <w:top w:val="nil"/>
              <w:left w:val="nil"/>
              <w:bottom w:val="nil"/>
              <w:right w:val="nil"/>
            </w:tcBorders>
            <w:shd w:val="clear" w:color="auto" w:fill="E2E8F6"/>
          </w:tcPr>
          <w:p w14:paraId="16046EE7" w14:textId="77777777" w:rsidR="00800A72" w:rsidRDefault="00800A72">
            <w:pPr>
              <w:spacing w:after="160" w:line="259" w:lineRule="auto"/>
              <w:ind w:left="0" w:right="0" w:firstLine="0"/>
              <w:jc w:val="left"/>
            </w:pPr>
          </w:p>
        </w:tc>
        <w:tc>
          <w:tcPr>
            <w:tcW w:w="1277" w:type="dxa"/>
            <w:tcBorders>
              <w:top w:val="nil"/>
              <w:left w:val="nil"/>
              <w:bottom w:val="nil"/>
              <w:right w:val="nil"/>
            </w:tcBorders>
            <w:shd w:val="clear" w:color="auto" w:fill="E2E8F6"/>
          </w:tcPr>
          <w:p w14:paraId="431F5D6C" w14:textId="77777777" w:rsidR="00800A72" w:rsidRDefault="00000000">
            <w:pPr>
              <w:spacing w:after="0" w:line="259" w:lineRule="auto"/>
              <w:ind w:left="0" w:right="132" w:firstLine="0"/>
              <w:jc w:val="center"/>
            </w:pPr>
            <w:r>
              <w:t xml:space="preserve">331,2 </w:t>
            </w:r>
          </w:p>
        </w:tc>
        <w:tc>
          <w:tcPr>
            <w:tcW w:w="1147" w:type="dxa"/>
            <w:tcBorders>
              <w:top w:val="nil"/>
              <w:left w:val="nil"/>
              <w:bottom w:val="nil"/>
              <w:right w:val="nil"/>
            </w:tcBorders>
            <w:shd w:val="clear" w:color="auto" w:fill="E2E8F6"/>
          </w:tcPr>
          <w:p w14:paraId="254FD958" w14:textId="77777777" w:rsidR="00800A72" w:rsidRDefault="00800A72">
            <w:pPr>
              <w:spacing w:after="160" w:line="259" w:lineRule="auto"/>
              <w:ind w:left="0" w:right="0" w:firstLine="0"/>
              <w:jc w:val="left"/>
            </w:pPr>
          </w:p>
        </w:tc>
        <w:tc>
          <w:tcPr>
            <w:tcW w:w="1839" w:type="dxa"/>
            <w:tcBorders>
              <w:top w:val="nil"/>
              <w:left w:val="nil"/>
              <w:bottom w:val="nil"/>
              <w:right w:val="nil"/>
            </w:tcBorders>
            <w:shd w:val="clear" w:color="auto" w:fill="E2E8F6"/>
          </w:tcPr>
          <w:p w14:paraId="0351C809" w14:textId="77777777" w:rsidR="00800A72" w:rsidRDefault="00800A72">
            <w:pPr>
              <w:spacing w:after="160" w:line="259" w:lineRule="auto"/>
              <w:ind w:left="0" w:right="0" w:firstLine="0"/>
              <w:jc w:val="left"/>
            </w:pPr>
          </w:p>
        </w:tc>
        <w:tc>
          <w:tcPr>
            <w:tcW w:w="837" w:type="dxa"/>
            <w:tcBorders>
              <w:top w:val="nil"/>
              <w:left w:val="nil"/>
              <w:bottom w:val="single" w:sz="8" w:space="0" w:color="D0CECE"/>
              <w:right w:val="nil"/>
            </w:tcBorders>
            <w:shd w:val="clear" w:color="auto" w:fill="E2E8F6"/>
          </w:tcPr>
          <w:p w14:paraId="7373A42F" w14:textId="77777777" w:rsidR="00800A72" w:rsidRDefault="00000000">
            <w:pPr>
              <w:spacing w:after="0" w:line="259" w:lineRule="auto"/>
              <w:ind w:left="0" w:right="0" w:firstLine="0"/>
            </w:pPr>
            <w:r>
              <w:rPr>
                <w:sz w:val="20"/>
              </w:rPr>
              <w:t xml:space="preserve">(1,3%) </w:t>
            </w:r>
          </w:p>
        </w:tc>
      </w:tr>
      <w:tr w:rsidR="00800A72" w14:paraId="03CEE659" w14:textId="77777777">
        <w:trPr>
          <w:trHeight w:val="308"/>
        </w:trPr>
        <w:tc>
          <w:tcPr>
            <w:tcW w:w="4872" w:type="dxa"/>
            <w:tcBorders>
              <w:top w:val="nil"/>
              <w:left w:val="nil"/>
              <w:bottom w:val="single" w:sz="7" w:space="0" w:color="D0CECE"/>
              <w:right w:val="nil"/>
            </w:tcBorders>
          </w:tcPr>
          <w:p w14:paraId="4AD62701" w14:textId="77777777" w:rsidR="00800A72" w:rsidRDefault="00000000">
            <w:pPr>
              <w:spacing w:after="0" w:line="259" w:lineRule="auto"/>
              <w:ind w:left="0" w:right="-3528" w:firstLine="0"/>
              <w:jc w:val="left"/>
            </w:pPr>
            <w:r>
              <w:rPr>
                <w:noProof/>
              </w:rPr>
              <w:drawing>
                <wp:inline distT="0" distB="0" distL="0" distR="0" wp14:anchorId="713808C1" wp14:editId="0DB4C422">
                  <wp:extent cx="5340097" cy="323088"/>
                  <wp:effectExtent l="0" t="0" r="0" b="0"/>
                  <wp:docPr id="12626" name="Picture 12626"/>
                  <wp:cNvGraphicFramePr/>
                  <a:graphic xmlns:a="http://schemas.openxmlformats.org/drawingml/2006/main">
                    <a:graphicData uri="http://schemas.openxmlformats.org/drawingml/2006/picture">
                      <pic:pic xmlns:pic="http://schemas.openxmlformats.org/drawingml/2006/picture">
                        <pic:nvPicPr>
                          <pic:cNvPr id="12626" name="Picture 12626"/>
                          <pic:cNvPicPr/>
                        </pic:nvPicPr>
                        <pic:blipFill>
                          <a:blip r:embed="rId16"/>
                          <a:stretch>
                            <a:fillRect/>
                          </a:stretch>
                        </pic:blipFill>
                        <pic:spPr>
                          <a:xfrm>
                            <a:off x="0" y="0"/>
                            <a:ext cx="5340097" cy="323088"/>
                          </a:xfrm>
                          <a:prstGeom prst="rect">
                            <a:avLst/>
                          </a:prstGeom>
                        </pic:spPr>
                      </pic:pic>
                    </a:graphicData>
                  </a:graphic>
                </wp:inline>
              </w:drawing>
            </w:r>
            <w:r>
              <w:t xml:space="preserve">Κέρδη προ φόρων </w:t>
            </w:r>
          </w:p>
        </w:tc>
        <w:tc>
          <w:tcPr>
            <w:tcW w:w="1277" w:type="dxa"/>
            <w:tcBorders>
              <w:top w:val="nil"/>
              <w:left w:val="nil"/>
              <w:bottom w:val="single" w:sz="7" w:space="0" w:color="D0CECE"/>
              <w:right w:val="nil"/>
            </w:tcBorders>
          </w:tcPr>
          <w:p w14:paraId="14A336D2" w14:textId="77777777" w:rsidR="00800A72" w:rsidRDefault="00000000">
            <w:pPr>
              <w:spacing w:after="0" w:line="259" w:lineRule="auto"/>
              <w:ind w:left="0" w:right="132" w:firstLine="0"/>
              <w:jc w:val="center"/>
            </w:pPr>
            <w:r>
              <w:t xml:space="preserve">231,8 </w:t>
            </w:r>
          </w:p>
        </w:tc>
        <w:tc>
          <w:tcPr>
            <w:tcW w:w="1147" w:type="dxa"/>
            <w:tcBorders>
              <w:top w:val="nil"/>
              <w:left w:val="nil"/>
              <w:bottom w:val="single" w:sz="7" w:space="0" w:color="D0CECE"/>
              <w:right w:val="nil"/>
            </w:tcBorders>
          </w:tcPr>
          <w:p w14:paraId="547AC784" w14:textId="77777777" w:rsidR="00800A72" w:rsidRDefault="00800A72">
            <w:pPr>
              <w:spacing w:after="160" w:line="259" w:lineRule="auto"/>
              <w:ind w:left="0" w:right="0" w:firstLine="0"/>
              <w:jc w:val="left"/>
            </w:pPr>
          </w:p>
        </w:tc>
        <w:tc>
          <w:tcPr>
            <w:tcW w:w="1839" w:type="dxa"/>
            <w:tcBorders>
              <w:top w:val="nil"/>
              <w:left w:val="nil"/>
              <w:bottom w:val="single" w:sz="7" w:space="0" w:color="D0CECE"/>
              <w:right w:val="nil"/>
            </w:tcBorders>
          </w:tcPr>
          <w:p w14:paraId="0544F9C2" w14:textId="77777777" w:rsidR="00800A72" w:rsidRDefault="00800A72">
            <w:pPr>
              <w:spacing w:after="160" w:line="259" w:lineRule="auto"/>
              <w:ind w:left="0" w:right="0" w:firstLine="0"/>
              <w:jc w:val="left"/>
            </w:pPr>
          </w:p>
        </w:tc>
        <w:tc>
          <w:tcPr>
            <w:tcW w:w="837" w:type="dxa"/>
            <w:tcBorders>
              <w:top w:val="single" w:sz="8" w:space="0" w:color="D0CECE"/>
              <w:left w:val="nil"/>
              <w:bottom w:val="single" w:sz="7" w:space="0" w:color="D0CECE"/>
              <w:right w:val="nil"/>
            </w:tcBorders>
          </w:tcPr>
          <w:p w14:paraId="422E430B" w14:textId="77777777" w:rsidR="00800A72" w:rsidRDefault="00000000">
            <w:pPr>
              <w:spacing w:after="0" w:line="259" w:lineRule="auto"/>
              <w:ind w:left="0" w:right="0" w:firstLine="0"/>
            </w:pPr>
            <w:r>
              <w:rPr>
                <w:sz w:val="20"/>
              </w:rPr>
              <w:t xml:space="preserve">(3,8%) </w:t>
            </w:r>
          </w:p>
        </w:tc>
      </w:tr>
      <w:tr w:rsidR="00800A72" w14:paraId="4489431E" w14:textId="77777777">
        <w:trPr>
          <w:trHeight w:val="299"/>
        </w:trPr>
        <w:tc>
          <w:tcPr>
            <w:tcW w:w="4872" w:type="dxa"/>
            <w:tcBorders>
              <w:top w:val="single" w:sz="7" w:space="0" w:color="D0CECE"/>
              <w:left w:val="nil"/>
              <w:bottom w:val="single" w:sz="8" w:space="0" w:color="D0CECE"/>
              <w:right w:val="nil"/>
            </w:tcBorders>
            <w:shd w:val="clear" w:color="auto" w:fill="E2E8F6"/>
          </w:tcPr>
          <w:p w14:paraId="3367A6A5" w14:textId="77777777" w:rsidR="00800A72" w:rsidRDefault="00000000">
            <w:pPr>
              <w:spacing w:after="0" w:line="259" w:lineRule="auto"/>
              <w:ind w:left="106" w:right="0" w:firstLine="0"/>
              <w:jc w:val="left"/>
            </w:pPr>
            <w:r>
              <w:t xml:space="preserve">Κέρδη μετά από φόρους </w:t>
            </w:r>
          </w:p>
        </w:tc>
        <w:tc>
          <w:tcPr>
            <w:tcW w:w="1277" w:type="dxa"/>
            <w:tcBorders>
              <w:top w:val="single" w:sz="7" w:space="0" w:color="D0CECE"/>
              <w:left w:val="nil"/>
              <w:bottom w:val="single" w:sz="8" w:space="0" w:color="D0CECE"/>
              <w:right w:val="nil"/>
            </w:tcBorders>
            <w:shd w:val="clear" w:color="auto" w:fill="E2E8F6"/>
          </w:tcPr>
          <w:p w14:paraId="2A70D844" w14:textId="77777777" w:rsidR="00800A72" w:rsidRDefault="00000000">
            <w:pPr>
              <w:spacing w:after="0" w:line="259" w:lineRule="auto"/>
              <w:ind w:left="0" w:right="132" w:firstLine="0"/>
              <w:jc w:val="center"/>
            </w:pPr>
            <w:r>
              <w:t xml:space="preserve">173,5  </w:t>
            </w:r>
          </w:p>
        </w:tc>
        <w:tc>
          <w:tcPr>
            <w:tcW w:w="1147" w:type="dxa"/>
            <w:tcBorders>
              <w:top w:val="single" w:sz="7" w:space="0" w:color="D0CECE"/>
              <w:left w:val="nil"/>
              <w:bottom w:val="single" w:sz="8" w:space="0" w:color="D0CECE"/>
              <w:right w:val="nil"/>
            </w:tcBorders>
            <w:shd w:val="clear" w:color="auto" w:fill="E2E8F6"/>
          </w:tcPr>
          <w:p w14:paraId="462577C1" w14:textId="77777777" w:rsidR="00800A72" w:rsidRDefault="00000000">
            <w:pPr>
              <w:spacing w:after="0" w:line="259" w:lineRule="auto"/>
              <w:ind w:left="0" w:right="2" w:firstLine="0"/>
              <w:jc w:val="center"/>
            </w:pPr>
            <w:r>
              <w:t xml:space="preserve">185,8  </w:t>
            </w:r>
          </w:p>
        </w:tc>
        <w:tc>
          <w:tcPr>
            <w:tcW w:w="1839" w:type="dxa"/>
            <w:tcBorders>
              <w:top w:val="single" w:sz="7" w:space="0" w:color="D0CECE"/>
              <w:left w:val="nil"/>
              <w:bottom w:val="single" w:sz="8" w:space="0" w:color="D0CECE"/>
              <w:right w:val="nil"/>
            </w:tcBorders>
            <w:shd w:val="clear" w:color="auto" w:fill="E2E8F6"/>
          </w:tcPr>
          <w:p w14:paraId="266FF2CB" w14:textId="77777777" w:rsidR="00800A72" w:rsidRDefault="00000000">
            <w:pPr>
              <w:spacing w:after="0" w:line="259" w:lineRule="auto"/>
              <w:ind w:left="358" w:right="0" w:firstLine="0"/>
              <w:jc w:val="left"/>
            </w:pPr>
            <w:r>
              <w:rPr>
                <w:sz w:val="20"/>
              </w:rPr>
              <w:t xml:space="preserve">(12,3) </w:t>
            </w:r>
          </w:p>
        </w:tc>
        <w:tc>
          <w:tcPr>
            <w:tcW w:w="837" w:type="dxa"/>
            <w:tcBorders>
              <w:top w:val="single" w:sz="7" w:space="0" w:color="D0CECE"/>
              <w:left w:val="nil"/>
              <w:bottom w:val="single" w:sz="8" w:space="0" w:color="D0CECE"/>
              <w:right w:val="nil"/>
            </w:tcBorders>
            <w:shd w:val="clear" w:color="auto" w:fill="E2E8F6"/>
          </w:tcPr>
          <w:p w14:paraId="2FC21AC2" w14:textId="77777777" w:rsidR="00800A72" w:rsidRDefault="00000000">
            <w:pPr>
              <w:spacing w:after="0" w:line="259" w:lineRule="auto"/>
              <w:ind w:left="0" w:right="0" w:firstLine="0"/>
            </w:pPr>
            <w:r>
              <w:rPr>
                <w:sz w:val="20"/>
              </w:rPr>
              <w:t xml:space="preserve">(6,6%) </w:t>
            </w:r>
          </w:p>
        </w:tc>
      </w:tr>
    </w:tbl>
    <w:p w14:paraId="60E0AA0B" w14:textId="77777777" w:rsidR="00800A72" w:rsidRDefault="00000000">
      <w:pPr>
        <w:spacing w:after="165" w:line="259" w:lineRule="auto"/>
        <w:ind w:left="11" w:right="0" w:firstLine="0"/>
        <w:jc w:val="left"/>
      </w:pPr>
      <w:r>
        <w:rPr>
          <w:color w:val="2F5496"/>
        </w:rPr>
        <w:t xml:space="preserve"> </w:t>
      </w:r>
    </w:p>
    <w:p w14:paraId="25E8412A" w14:textId="77777777" w:rsidR="00800A72" w:rsidRDefault="00000000">
      <w:pPr>
        <w:spacing w:after="7610" w:line="259" w:lineRule="auto"/>
        <w:ind w:left="11" w:right="0" w:firstLine="0"/>
        <w:jc w:val="left"/>
      </w:pPr>
      <w:r>
        <w:rPr>
          <w:color w:val="2F5496"/>
        </w:rPr>
        <w:lastRenderedPageBreak/>
        <w:t xml:space="preserve"> </w:t>
      </w:r>
    </w:p>
    <w:p w14:paraId="5A18A194" w14:textId="77777777" w:rsidR="00800A72" w:rsidRDefault="00000000">
      <w:pPr>
        <w:spacing w:after="0" w:line="259" w:lineRule="auto"/>
        <w:ind w:left="11" w:right="0" w:firstLine="0"/>
        <w:jc w:val="left"/>
      </w:pPr>
      <w:r>
        <w:rPr>
          <w:rFonts w:ascii="Calibri" w:eastAsia="Calibri" w:hAnsi="Calibri" w:cs="Calibri"/>
          <w:noProof/>
          <w:sz w:val="22"/>
        </w:rPr>
        <mc:AlternateContent>
          <mc:Choice Requires="wpg">
            <w:drawing>
              <wp:inline distT="0" distB="0" distL="0" distR="0" wp14:anchorId="6AD5151B" wp14:editId="0B9794F6">
                <wp:extent cx="1780032" cy="9144"/>
                <wp:effectExtent l="0" t="0" r="0" b="0"/>
                <wp:docPr id="11118" name="Group 11118"/>
                <wp:cNvGraphicFramePr/>
                <a:graphic xmlns:a="http://schemas.openxmlformats.org/drawingml/2006/main">
                  <a:graphicData uri="http://schemas.microsoft.com/office/word/2010/wordprocessingGroup">
                    <wpg:wgp>
                      <wpg:cNvGrpSpPr/>
                      <wpg:grpSpPr>
                        <a:xfrm>
                          <a:off x="0" y="0"/>
                          <a:ext cx="1780032" cy="9144"/>
                          <a:chOff x="0" y="0"/>
                          <a:chExt cx="1780032" cy="9144"/>
                        </a:xfrm>
                      </wpg:grpSpPr>
                      <wps:wsp>
                        <wps:cNvPr id="13093" name="Shape 13093"/>
                        <wps:cNvSpPr/>
                        <wps:spPr>
                          <a:xfrm>
                            <a:off x="0" y="0"/>
                            <a:ext cx="1780032" cy="9144"/>
                          </a:xfrm>
                          <a:custGeom>
                            <a:avLst/>
                            <a:gdLst/>
                            <a:ahLst/>
                            <a:cxnLst/>
                            <a:rect l="0" t="0" r="0" b="0"/>
                            <a:pathLst>
                              <a:path w="1780032" h="9144">
                                <a:moveTo>
                                  <a:pt x="0" y="0"/>
                                </a:moveTo>
                                <a:lnTo>
                                  <a:pt x="1780032" y="0"/>
                                </a:lnTo>
                                <a:lnTo>
                                  <a:pt x="17800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1118" style="width:140.16pt;height:0.720032pt;mso-position-horizontal-relative:char;mso-position-vertical-relative:line" coordsize="17800,91">
                <v:shape id="Shape 13094" style="position:absolute;width:17800;height:91;left:0;top:0;" coordsize="1780032,9144" path="m0,0l1780032,0l1780032,9144l0,9144l0,0">
                  <v:stroke weight="0pt" endcap="flat" joinstyle="miter" miterlimit="10" on="false" color="#000000" opacity="0"/>
                  <v:fill on="true" color="#000000"/>
                </v:shape>
              </v:group>
            </w:pict>
          </mc:Fallback>
        </mc:AlternateContent>
      </w:r>
      <w:r>
        <w:rPr>
          <w:sz w:val="21"/>
        </w:rPr>
        <w:t xml:space="preserve"> </w:t>
      </w:r>
    </w:p>
    <w:p w14:paraId="7DFB82E1" w14:textId="77777777" w:rsidR="00800A72" w:rsidRDefault="00000000">
      <w:pPr>
        <w:pStyle w:val="1"/>
        <w:ind w:left="8"/>
      </w:pPr>
      <w:r>
        <w:t xml:space="preserve">Επιχειρησιακές Εξελίξεις </w:t>
      </w:r>
    </w:p>
    <w:p w14:paraId="34D8E2F5" w14:textId="77777777" w:rsidR="00800A72" w:rsidRDefault="00000000">
      <w:pPr>
        <w:spacing w:after="9" w:line="259" w:lineRule="auto"/>
        <w:ind w:left="11" w:right="0" w:firstLine="0"/>
        <w:jc w:val="left"/>
      </w:pPr>
      <w:r>
        <w:t xml:space="preserve"> </w:t>
      </w:r>
      <w:r>
        <w:rPr>
          <w:rFonts w:ascii="Calibri" w:eastAsia="Calibri" w:hAnsi="Calibri" w:cs="Calibri"/>
          <w:noProof/>
          <w:sz w:val="22"/>
        </w:rPr>
        <mc:AlternateContent>
          <mc:Choice Requires="wpg">
            <w:drawing>
              <wp:inline distT="0" distB="0" distL="0" distR="0" wp14:anchorId="513A676D" wp14:editId="489E9411">
                <wp:extent cx="6237733" cy="18288"/>
                <wp:effectExtent l="0" t="0" r="0" b="0"/>
                <wp:docPr id="10879" name="Group 10879"/>
                <wp:cNvGraphicFramePr/>
                <a:graphic xmlns:a="http://schemas.openxmlformats.org/drawingml/2006/main">
                  <a:graphicData uri="http://schemas.microsoft.com/office/word/2010/wordprocessingGroup">
                    <wpg:wgp>
                      <wpg:cNvGrpSpPr/>
                      <wpg:grpSpPr>
                        <a:xfrm>
                          <a:off x="0" y="0"/>
                          <a:ext cx="6237733" cy="18288"/>
                          <a:chOff x="0" y="0"/>
                          <a:chExt cx="6237733" cy="18288"/>
                        </a:xfrm>
                      </wpg:grpSpPr>
                      <wps:wsp>
                        <wps:cNvPr id="533" name="Shape 533"/>
                        <wps:cNvSpPr/>
                        <wps:spPr>
                          <a:xfrm>
                            <a:off x="0" y="0"/>
                            <a:ext cx="6237733" cy="0"/>
                          </a:xfrm>
                          <a:custGeom>
                            <a:avLst/>
                            <a:gdLst/>
                            <a:ahLst/>
                            <a:cxnLst/>
                            <a:rect l="0" t="0" r="0" b="0"/>
                            <a:pathLst>
                              <a:path w="6237733">
                                <a:moveTo>
                                  <a:pt x="0" y="0"/>
                                </a:moveTo>
                                <a:lnTo>
                                  <a:pt x="6237733" y="0"/>
                                </a:lnTo>
                              </a:path>
                            </a:pathLst>
                          </a:custGeom>
                          <a:ln w="18288" cap="flat">
                            <a:miter lim="101600"/>
                          </a:ln>
                        </wps:spPr>
                        <wps:style>
                          <a:lnRef idx="1">
                            <a:srgbClr val="20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879" style="width:491.16pt;height:1.44pt;mso-position-horizontal-relative:char;mso-position-vertical-relative:line" coordsize="62377,182">
                <v:shape id="Shape 533" style="position:absolute;width:62377;height:0;left:0;top:0;" coordsize="6237733,0" path="m0,0l6237733,0">
                  <v:stroke weight="1.44pt" endcap="flat" joinstyle="miter" miterlimit="8" on="true" color="#203864"/>
                  <v:fill on="false" color="#000000" opacity="0"/>
                </v:shape>
              </v:group>
            </w:pict>
          </mc:Fallback>
        </mc:AlternateContent>
      </w:r>
    </w:p>
    <w:p w14:paraId="7F879629" w14:textId="77777777" w:rsidR="00800A72" w:rsidRDefault="00000000">
      <w:pPr>
        <w:pStyle w:val="2"/>
        <w:spacing w:after="129"/>
        <w:ind w:left="6" w:right="0"/>
      </w:pPr>
      <w:r>
        <w:t xml:space="preserve">Εξελίξεις στην επιβατική κίνηση </w:t>
      </w:r>
    </w:p>
    <w:p w14:paraId="0F9895D6" w14:textId="77777777" w:rsidR="00800A72" w:rsidRDefault="00000000">
      <w:pPr>
        <w:spacing w:after="80"/>
        <w:ind w:left="8" w:right="29"/>
      </w:pPr>
      <w:r>
        <w:t xml:space="preserve">Κατά το εννεάμηνο του 2026, η επιβατική κίνηση του Αεροδρομίου ανήλθε σε 27,3 εκατ. επιβάτες, αυξημένη κατά 4,3% σε σχέση με την αντίστοιχη περίοδο του 2025. Η εγχώρια και η διεθνής επιβατική κίνηση ξεπέρασαν τα επίπεδα του </w:t>
      </w:r>
      <w:proofErr w:type="spellStart"/>
      <w:r>
        <w:t>εννεαμήνου</w:t>
      </w:r>
      <w:proofErr w:type="spellEnd"/>
      <w:r>
        <w:t xml:space="preserve"> 2025 κατά 4,2% και 4,3%, αντίστοιχα. Η επιβατική κίνηση παρέμεινε σε επίπεδα υψηλότερα από εκείνα του 2025 σε κάθε τρίμηνο του έτους, καταγράφοντας αύξηση 8,1% το πρώτο τρίμηνο, 2,2% το δεύτερο και 4,0% το τρίτο τρίμηνο. </w:t>
      </w:r>
    </w:p>
    <w:p w14:paraId="6BB8FECB" w14:textId="77777777" w:rsidR="00800A72" w:rsidRDefault="00000000">
      <w:pPr>
        <w:spacing w:after="6"/>
        <w:ind w:left="8" w:right="29"/>
      </w:pPr>
      <w:r>
        <w:t>Κατά το τρίτο τρίμηνο του 2026, η επιβατική κίνηση του αεροδρομίου διατήρησε την ισχυρή της επίδοση καθ’ όλη τη διάρκεια της θερινής περιόδου αιχμής, αναδεικνύοντας την ανθεκτικότητα της ταξιδιωτικής ζήτησης, παρά τις συνεχιζόμενες γεωπολιτικές εντάσεις και την προσωρινή διακοπή λειτουργίας ενός εκ των δύο διαδρόμων προσγείωσης και απογείωσης για δύο ημέρες τον Σεπτέμβριο λόγω προγραμματισμένων εργασιών συντήρησης. Παράλληλα, οι θεμελιώδεις παράγοντες που στηρίζουν τη ζήτηση για ταξίδια προς την Ελλάδα παρέμειναν ισχυροί, ενισχύοντας την ανταγωνιστική θέση του αεροδρομίου της Αθήνας, το οποίο εξακολουθεί να συγκαταλέγεται μεταξύ των πλέον διασυνδεδεμένων αεροδρόμιων της Ευρώπης, διατηρώντας για μια ακόμη χρονιά την 8</w:t>
      </w:r>
      <w:r>
        <w:rPr>
          <w:vertAlign w:val="superscript"/>
        </w:rPr>
        <w:t>η</w:t>
      </w:r>
      <w:r>
        <w:t xml:space="preserve"> θέση σε πανευρωπαϊκό επίπεδο</w:t>
      </w:r>
      <w:r>
        <w:rPr>
          <w:vertAlign w:val="superscript"/>
        </w:rPr>
        <w:t>6</w:t>
      </w:r>
      <w:r>
        <w:t xml:space="preserve">. Παρά τις σχετικά συγκρατημένες εκτιμήσεις για το υπόλοιπο του έτους, εν μέσω των σημαντικών πιέσεων στις τιμές των καυσίμων, διατηρούμε την πρόβλεψή μας για αύξηση της επιβατικής κίνησης κατά μεσαίο μονοψήφιο ποσοστό το 2026. </w:t>
      </w:r>
    </w:p>
    <w:p w14:paraId="33139999" w14:textId="77777777" w:rsidR="00800A72" w:rsidRDefault="00000000">
      <w:pPr>
        <w:spacing w:after="0" w:line="259" w:lineRule="auto"/>
        <w:ind w:left="1" w:right="0" w:firstLine="0"/>
        <w:jc w:val="left"/>
      </w:pPr>
      <w:r>
        <w:rPr>
          <w:noProof/>
        </w:rPr>
        <w:lastRenderedPageBreak/>
        <w:drawing>
          <wp:inline distT="0" distB="0" distL="0" distR="0" wp14:anchorId="06A3375B" wp14:editId="3E8F561B">
            <wp:extent cx="6242305" cy="5236465"/>
            <wp:effectExtent l="0" t="0" r="0" b="0"/>
            <wp:docPr id="12627" name="Picture 12627"/>
            <wp:cNvGraphicFramePr/>
            <a:graphic xmlns:a="http://schemas.openxmlformats.org/drawingml/2006/main">
              <a:graphicData uri="http://schemas.openxmlformats.org/drawingml/2006/picture">
                <pic:pic xmlns:pic="http://schemas.openxmlformats.org/drawingml/2006/picture">
                  <pic:nvPicPr>
                    <pic:cNvPr id="12627" name="Picture 12627"/>
                    <pic:cNvPicPr/>
                  </pic:nvPicPr>
                  <pic:blipFill>
                    <a:blip r:embed="rId17"/>
                    <a:stretch>
                      <a:fillRect/>
                    </a:stretch>
                  </pic:blipFill>
                  <pic:spPr>
                    <a:xfrm>
                      <a:off x="0" y="0"/>
                      <a:ext cx="6242305" cy="5236465"/>
                    </a:xfrm>
                    <a:prstGeom prst="rect">
                      <a:avLst/>
                    </a:prstGeom>
                  </pic:spPr>
                </pic:pic>
              </a:graphicData>
            </a:graphic>
          </wp:inline>
        </w:drawing>
      </w:r>
    </w:p>
    <w:p w14:paraId="11F85322" w14:textId="77777777" w:rsidR="00800A72" w:rsidRDefault="00000000">
      <w:pPr>
        <w:pStyle w:val="1"/>
        <w:spacing w:after="245"/>
        <w:ind w:left="8"/>
      </w:pPr>
      <w:r>
        <w:t xml:space="preserve">Κυριότερα Οικονομικά Μεγέθη </w:t>
      </w:r>
    </w:p>
    <w:p w14:paraId="7E99FCF0" w14:textId="77777777" w:rsidR="00800A72" w:rsidRDefault="00000000">
      <w:pPr>
        <w:pStyle w:val="2"/>
        <w:ind w:left="6" w:right="0"/>
      </w:pPr>
      <w:r>
        <w:t xml:space="preserve">Έσοδα και λοιπά εισοδήματα </w:t>
      </w:r>
    </w:p>
    <w:tbl>
      <w:tblPr>
        <w:tblStyle w:val="TableGrid"/>
        <w:tblW w:w="9986" w:type="dxa"/>
        <w:tblInd w:w="11" w:type="dxa"/>
        <w:tblCellMar>
          <w:top w:w="46" w:type="dxa"/>
          <w:left w:w="0" w:type="dxa"/>
          <w:bottom w:w="0" w:type="dxa"/>
          <w:right w:w="0" w:type="dxa"/>
        </w:tblCellMar>
        <w:tblLook w:val="04A0" w:firstRow="1" w:lastRow="0" w:firstColumn="1" w:lastColumn="0" w:noHBand="0" w:noVBand="1"/>
      </w:tblPr>
      <w:tblGrid>
        <w:gridCol w:w="3565"/>
        <w:gridCol w:w="859"/>
        <w:gridCol w:w="1318"/>
        <w:gridCol w:w="773"/>
        <w:gridCol w:w="1750"/>
        <w:gridCol w:w="992"/>
        <w:gridCol w:w="729"/>
      </w:tblGrid>
      <w:tr w:rsidR="00800A72" w14:paraId="00CEAF91" w14:textId="77777777">
        <w:trPr>
          <w:trHeight w:val="370"/>
        </w:trPr>
        <w:tc>
          <w:tcPr>
            <w:tcW w:w="3566" w:type="dxa"/>
            <w:tcBorders>
              <w:top w:val="nil"/>
              <w:left w:val="nil"/>
              <w:bottom w:val="nil"/>
              <w:right w:val="nil"/>
            </w:tcBorders>
            <w:shd w:val="clear" w:color="auto" w:fill="305496"/>
          </w:tcPr>
          <w:p w14:paraId="74898F3A" w14:textId="77777777" w:rsidR="00800A72" w:rsidRDefault="00000000">
            <w:pPr>
              <w:spacing w:after="0" w:line="259" w:lineRule="auto"/>
              <w:ind w:left="106" w:right="0" w:firstLine="0"/>
              <w:jc w:val="left"/>
            </w:pPr>
            <w:r>
              <w:rPr>
                <w:color w:val="FFFFFF"/>
              </w:rPr>
              <w:t xml:space="preserve">Έσοδα και λοιπά εισοδήματα </w:t>
            </w:r>
          </w:p>
        </w:tc>
        <w:tc>
          <w:tcPr>
            <w:tcW w:w="859" w:type="dxa"/>
            <w:tcBorders>
              <w:top w:val="nil"/>
              <w:left w:val="nil"/>
              <w:bottom w:val="nil"/>
              <w:right w:val="nil"/>
            </w:tcBorders>
            <w:shd w:val="clear" w:color="auto" w:fill="305496"/>
          </w:tcPr>
          <w:p w14:paraId="5C4890A4" w14:textId="77777777" w:rsidR="00800A72" w:rsidRDefault="00000000">
            <w:pPr>
              <w:spacing w:after="0" w:line="259" w:lineRule="auto"/>
              <w:ind w:left="255" w:right="0" w:firstLine="0"/>
              <w:jc w:val="center"/>
            </w:pPr>
            <w:r>
              <w:t xml:space="preserve">  </w:t>
            </w:r>
          </w:p>
        </w:tc>
        <w:tc>
          <w:tcPr>
            <w:tcW w:w="1318" w:type="dxa"/>
            <w:tcBorders>
              <w:top w:val="nil"/>
              <w:left w:val="nil"/>
              <w:bottom w:val="nil"/>
              <w:right w:val="nil"/>
            </w:tcBorders>
            <w:shd w:val="clear" w:color="auto" w:fill="305496"/>
          </w:tcPr>
          <w:p w14:paraId="66E1C50F" w14:textId="77777777" w:rsidR="00800A72" w:rsidRDefault="00000000">
            <w:pPr>
              <w:spacing w:after="0" w:line="259" w:lineRule="auto"/>
              <w:ind w:left="637" w:right="0" w:firstLine="0"/>
              <w:jc w:val="center"/>
            </w:pPr>
            <w:r>
              <w:t xml:space="preserve">  </w:t>
            </w:r>
          </w:p>
        </w:tc>
        <w:tc>
          <w:tcPr>
            <w:tcW w:w="773" w:type="dxa"/>
            <w:tcBorders>
              <w:top w:val="nil"/>
              <w:left w:val="nil"/>
              <w:bottom w:val="nil"/>
              <w:right w:val="nil"/>
            </w:tcBorders>
            <w:shd w:val="clear" w:color="auto" w:fill="305496"/>
          </w:tcPr>
          <w:p w14:paraId="7E51B659" w14:textId="77777777" w:rsidR="00800A72" w:rsidRDefault="00000000">
            <w:pPr>
              <w:spacing w:after="0" w:line="259" w:lineRule="auto"/>
              <w:ind w:left="337" w:right="0" w:firstLine="0"/>
              <w:jc w:val="center"/>
            </w:pPr>
            <w:r>
              <w:t xml:space="preserve">  </w:t>
            </w:r>
          </w:p>
        </w:tc>
        <w:tc>
          <w:tcPr>
            <w:tcW w:w="2742" w:type="dxa"/>
            <w:gridSpan w:val="2"/>
            <w:tcBorders>
              <w:top w:val="nil"/>
              <w:left w:val="nil"/>
              <w:bottom w:val="nil"/>
              <w:right w:val="nil"/>
            </w:tcBorders>
            <w:shd w:val="clear" w:color="auto" w:fill="305496"/>
          </w:tcPr>
          <w:p w14:paraId="1FCD75BC" w14:textId="77777777" w:rsidR="00800A72" w:rsidRDefault="00000000">
            <w:pPr>
              <w:spacing w:after="0" w:line="259" w:lineRule="auto"/>
              <w:ind w:left="917" w:right="0" w:firstLine="0"/>
              <w:jc w:val="left"/>
            </w:pPr>
            <w:r>
              <w:t xml:space="preserve">  </w:t>
            </w:r>
            <w:r>
              <w:tab/>
              <w:t xml:space="preserve">  </w:t>
            </w:r>
          </w:p>
        </w:tc>
        <w:tc>
          <w:tcPr>
            <w:tcW w:w="729" w:type="dxa"/>
            <w:tcBorders>
              <w:top w:val="nil"/>
              <w:left w:val="nil"/>
              <w:bottom w:val="nil"/>
              <w:right w:val="nil"/>
            </w:tcBorders>
            <w:shd w:val="clear" w:color="auto" w:fill="305496"/>
          </w:tcPr>
          <w:p w14:paraId="282A7B73" w14:textId="77777777" w:rsidR="00800A72" w:rsidRDefault="00000000">
            <w:pPr>
              <w:spacing w:after="0" w:line="259" w:lineRule="auto"/>
              <w:ind w:left="0" w:right="45" w:firstLine="0"/>
              <w:jc w:val="right"/>
            </w:pPr>
            <w:r>
              <w:t xml:space="preserve">  </w:t>
            </w:r>
          </w:p>
        </w:tc>
      </w:tr>
      <w:tr w:rsidR="00800A72" w14:paraId="7BCC359D" w14:textId="77777777">
        <w:trPr>
          <w:trHeight w:val="535"/>
        </w:trPr>
        <w:tc>
          <w:tcPr>
            <w:tcW w:w="3566" w:type="dxa"/>
            <w:tcBorders>
              <w:top w:val="nil"/>
              <w:left w:val="nil"/>
              <w:bottom w:val="single" w:sz="8" w:space="0" w:color="D0CECE"/>
              <w:right w:val="nil"/>
            </w:tcBorders>
          </w:tcPr>
          <w:p w14:paraId="1431F76A" w14:textId="77777777" w:rsidR="00800A72" w:rsidRDefault="00000000">
            <w:pPr>
              <w:spacing w:after="0" w:line="259" w:lineRule="auto"/>
              <w:ind w:left="92" w:right="0" w:firstLine="0"/>
              <w:jc w:val="left"/>
            </w:pPr>
            <w:r>
              <w:rPr>
                <w:sz w:val="20"/>
              </w:rPr>
              <w:t xml:space="preserve"> </w:t>
            </w:r>
          </w:p>
          <w:p w14:paraId="5BED57A7" w14:textId="77777777" w:rsidR="00800A72" w:rsidRDefault="00000000">
            <w:pPr>
              <w:spacing w:after="0" w:line="259" w:lineRule="auto"/>
              <w:ind w:left="92" w:right="0" w:firstLine="0"/>
              <w:jc w:val="left"/>
            </w:pPr>
            <w:r>
              <w:rPr>
                <w:sz w:val="20"/>
              </w:rPr>
              <w:t xml:space="preserve">ποσά σε εκατομμύρια ευρώ </w:t>
            </w:r>
          </w:p>
        </w:tc>
        <w:tc>
          <w:tcPr>
            <w:tcW w:w="859" w:type="dxa"/>
            <w:tcBorders>
              <w:top w:val="nil"/>
              <w:left w:val="nil"/>
              <w:bottom w:val="single" w:sz="8" w:space="0" w:color="D0CECE"/>
              <w:right w:val="nil"/>
            </w:tcBorders>
          </w:tcPr>
          <w:p w14:paraId="3B488536" w14:textId="77777777" w:rsidR="00800A72" w:rsidRDefault="00000000">
            <w:pPr>
              <w:spacing w:after="0" w:line="259" w:lineRule="auto"/>
              <w:ind w:left="0" w:right="44" w:firstLine="0"/>
              <w:jc w:val="center"/>
            </w:pPr>
            <w:r>
              <w:t xml:space="preserve">9M </w:t>
            </w:r>
          </w:p>
          <w:p w14:paraId="682B3B30" w14:textId="77777777" w:rsidR="00800A72" w:rsidRDefault="00000000">
            <w:pPr>
              <w:spacing w:after="0" w:line="259" w:lineRule="auto"/>
              <w:ind w:left="62" w:right="0" w:firstLine="0"/>
              <w:jc w:val="left"/>
            </w:pPr>
            <w:r>
              <w:t xml:space="preserve">2026 </w:t>
            </w:r>
          </w:p>
        </w:tc>
        <w:tc>
          <w:tcPr>
            <w:tcW w:w="1318" w:type="dxa"/>
            <w:tcBorders>
              <w:top w:val="nil"/>
              <w:left w:val="nil"/>
              <w:bottom w:val="single" w:sz="8" w:space="0" w:color="D0CECE"/>
              <w:right w:val="nil"/>
            </w:tcBorders>
          </w:tcPr>
          <w:p w14:paraId="5D8A80B8" w14:textId="77777777" w:rsidR="00800A72" w:rsidRDefault="00000000">
            <w:pPr>
              <w:spacing w:after="0" w:line="259" w:lineRule="auto"/>
              <w:ind w:left="137" w:right="0" w:hanging="137"/>
              <w:jc w:val="left"/>
            </w:pPr>
            <w:r>
              <w:t xml:space="preserve">% επί του συνόλου </w:t>
            </w:r>
          </w:p>
        </w:tc>
        <w:tc>
          <w:tcPr>
            <w:tcW w:w="773" w:type="dxa"/>
            <w:tcBorders>
              <w:top w:val="nil"/>
              <w:left w:val="nil"/>
              <w:bottom w:val="single" w:sz="8" w:space="0" w:color="D0CECE"/>
              <w:right w:val="nil"/>
            </w:tcBorders>
          </w:tcPr>
          <w:p w14:paraId="2578FC58" w14:textId="77777777" w:rsidR="00800A72" w:rsidRDefault="00000000">
            <w:pPr>
              <w:spacing w:after="0" w:line="259" w:lineRule="auto"/>
              <w:ind w:left="41" w:right="0" w:firstLine="0"/>
              <w:jc w:val="center"/>
            </w:pPr>
            <w:r>
              <w:t xml:space="preserve">9M </w:t>
            </w:r>
          </w:p>
          <w:p w14:paraId="2D758C38" w14:textId="77777777" w:rsidR="00800A72" w:rsidRDefault="00000000">
            <w:pPr>
              <w:spacing w:after="0" w:line="259" w:lineRule="auto"/>
              <w:ind w:left="60" w:right="0" w:firstLine="0"/>
              <w:jc w:val="left"/>
            </w:pPr>
            <w:r>
              <w:t xml:space="preserve">2025 </w:t>
            </w:r>
          </w:p>
        </w:tc>
        <w:tc>
          <w:tcPr>
            <w:tcW w:w="2742" w:type="dxa"/>
            <w:gridSpan w:val="2"/>
            <w:tcBorders>
              <w:top w:val="nil"/>
              <w:left w:val="nil"/>
              <w:bottom w:val="single" w:sz="8" w:space="0" w:color="D0CECE"/>
              <w:right w:val="nil"/>
            </w:tcBorders>
          </w:tcPr>
          <w:p w14:paraId="1191086E" w14:textId="77777777" w:rsidR="00800A72" w:rsidRDefault="00000000">
            <w:pPr>
              <w:spacing w:after="0" w:line="259" w:lineRule="auto"/>
              <w:ind w:left="0" w:right="0" w:firstLine="0"/>
              <w:jc w:val="left"/>
            </w:pPr>
            <w:r>
              <w:t xml:space="preserve">% επί του </w:t>
            </w:r>
          </w:p>
          <w:p w14:paraId="03FD0D66" w14:textId="77777777" w:rsidR="00800A72" w:rsidRDefault="00000000">
            <w:pPr>
              <w:spacing w:after="0" w:line="259" w:lineRule="auto"/>
              <w:ind w:left="1188" w:right="0" w:firstLine="0"/>
              <w:jc w:val="left"/>
            </w:pPr>
            <w:r>
              <w:t xml:space="preserve">Μεταβολή </w:t>
            </w:r>
          </w:p>
          <w:p w14:paraId="1DF7C6B1" w14:textId="77777777" w:rsidR="00800A72" w:rsidRDefault="00000000">
            <w:pPr>
              <w:spacing w:after="0" w:line="259" w:lineRule="auto"/>
              <w:ind w:left="137" w:right="0" w:firstLine="0"/>
              <w:jc w:val="left"/>
            </w:pPr>
            <w:r>
              <w:t xml:space="preserve">συνόλου </w:t>
            </w:r>
          </w:p>
        </w:tc>
        <w:tc>
          <w:tcPr>
            <w:tcW w:w="729" w:type="dxa"/>
            <w:tcBorders>
              <w:top w:val="nil"/>
              <w:left w:val="nil"/>
              <w:bottom w:val="single" w:sz="8" w:space="0" w:color="D0CECE"/>
              <w:right w:val="nil"/>
            </w:tcBorders>
            <w:vAlign w:val="center"/>
          </w:tcPr>
          <w:p w14:paraId="458E3676" w14:textId="77777777" w:rsidR="00800A72" w:rsidRDefault="00000000">
            <w:pPr>
              <w:spacing w:after="0" w:line="259" w:lineRule="auto"/>
              <w:ind w:left="251" w:right="0" w:firstLine="0"/>
              <w:jc w:val="left"/>
            </w:pPr>
            <w:r>
              <w:t xml:space="preserve">Δ% </w:t>
            </w:r>
          </w:p>
        </w:tc>
      </w:tr>
      <w:tr w:rsidR="00800A72" w14:paraId="5553160C" w14:textId="77777777">
        <w:trPr>
          <w:trHeight w:val="350"/>
        </w:trPr>
        <w:tc>
          <w:tcPr>
            <w:tcW w:w="3566" w:type="dxa"/>
            <w:tcBorders>
              <w:top w:val="single" w:sz="8" w:space="0" w:color="D0CECE"/>
              <w:left w:val="nil"/>
              <w:bottom w:val="single" w:sz="8" w:space="0" w:color="D0CECE"/>
              <w:right w:val="nil"/>
            </w:tcBorders>
          </w:tcPr>
          <w:p w14:paraId="6431C5B0" w14:textId="77777777" w:rsidR="00800A72" w:rsidRDefault="00000000">
            <w:pPr>
              <w:spacing w:after="0" w:line="259" w:lineRule="auto"/>
              <w:ind w:left="106" w:right="0" w:firstLine="0"/>
              <w:jc w:val="left"/>
            </w:pPr>
            <w:r>
              <w:t xml:space="preserve">Αεροπορικές Δραστηριότητες </w:t>
            </w:r>
          </w:p>
        </w:tc>
        <w:tc>
          <w:tcPr>
            <w:tcW w:w="859" w:type="dxa"/>
            <w:tcBorders>
              <w:top w:val="single" w:sz="8" w:space="0" w:color="D0CECE"/>
              <w:left w:val="nil"/>
              <w:bottom w:val="single" w:sz="8" w:space="0" w:color="D0CECE"/>
              <w:right w:val="nil"/>
            </w:tcBorders>
          </w:tcPr>
          <w:p w14:paraId="6479E24D" w14:textId="77777777" w:rsidR="00800A72" w:rsidRDefault="00000000">
            <w:pPr>
              <w:spacing w:after="0" w:line="259" w:lineRule="auto"/>
              <w:ind w:left="74" w:right="0" w:firstLine="0"/>
              <w:jc w:val="left"/>
            </w:pPr>
            <w:r>
              <w:t xml:space="preserve">393,6  </w:t>
            </w:r>
          </w:p>
        </w:tc>
        <w:tc>
          <w:tcPr>
            <w:tcW w:w="1318" w:type="dxa"/>
            <w:tcBorders>
              <w:top w:val="single" w:sz="8" w:space="0" w:color="D0CECE"/>
              <w:left w:val="nil"/>
              <w:bottom w:val="single" w:sz="8" w:space="0" w:color="D0CECE"/>
              <w:right w:val="nil"/>
            </w:tcBorders>
          </w:tcPr>
          <w:p w14:paraId="32EB9D5C" w14:textId="77777777" w:rsidR="00800A72" w:rsidRDefault="00000000">
            <w:pPr>
              <w:spacing w:after="0" w:line="259" w:lineRule="auto"/>
              <w:ind w:left="106" w:right="0" w:firstLine="0"/>
              <w:jc w:val="center"/>
            </w:pPr>
            <w:r>
              <w:rPr>
                <w:sz w:val="20"/>
              </w:rPr>
              <w:t xml:space="preserve">74,3% </w:t>
            </w:r>
          </w:p>
        </w:tc>
        <w:tc>
          <w:tcPr>
            <w:tcW w:w="773" w:type="dxa"/>
            <w:tcBorders>
              <w:top w:val="single" w:sz="8" w:space="0" w:color="D0CECE"/>
              <w:left w:val="nil"/>
              <w:bottom w:val="single" w:sz="8" w:space="0" w:color="D0CECE"/>
              <w:right w:val="nil"/>
            </w:tcBorders>
          </w:tcPr>
          <w:p w14:paraId="14008FCB" w14:textId="77777777" w:rsidR="00800A72" w:rsidRDefault="00000000">
            <w:pPr>
              <w:spacing w:after="0" w:line="259" w:lineRule="auto"/>
              <w:ind w:left="74" w:right="0" w:firstLine="0"/>
              <w:jc w:val="left"/>
            </w:pPr>
            <w:r>
              <w:t xml:space="preserve">397,5  </w:t>
            </w:r>
          </w:p>
        </w:tc>
        <w:tc>
          <w:tcPr>
            <w:tcW w:w="1750" w:type="dxa"/>
            <w:tcBorders>
              <w:top w:val="single" w:sz="8" w:space="0" w:color="D0CECE"/>
              <w:left w:val="nil"/>
              <w:bottom w:val="single" w:sz="8" w:space="0" w:color="D0CECE"/>
              <w:right w:val="nil"/>
            </w:tcBorders>
          </w:tcPr>
          <w:p w14:paraId="74990927" w14:textId="77777777" w:rsidR="00800A72" w:rsidRDefault="00000000">
            <w:pPr>
              <w:spacing w:after="0" w:line="259" w:lineRule="auto"/>
              <w:ind w:left="397" w:right="0" w:firstLine="0"/>
              <w:jc w:val="left"/>
            </w:pPr>
            <w:r>
              <w:rPr>
                <w:sz w:val="20"/>
              </w:rPr>
              <w:t xml:space="preserve">75,4% </w:t>
            </w:r>
          </w:p>
        </w:tc>
        <w:tc>
          <w:tcPr>
            <w:tcW w:w="992" w:type="dxa"/>
            <w:tcBorders>
              <w:top w:val="single" w:sz="8" w:space="0" w:color="D0CECE"/>
              <w:left w:val="nil"/>
              <w:bottom w:val="single" w:sz="8" w:space="0" w:color="D0CECE"/>
              <w:right w:val="nil"/>
            </w:tcBorders>
          </w:tcPr>
          <w:p w14:paraId="2E011607" w14:textId="77777777" w:rsidR="00800A72" w:rsidRDefault="00000000">
            <w:pPr>
              <w:spacing w:after="0" w:line="259" w:lineRule="auto"/>
              <w:ind w:left="0" w:right="0" w:firstLine="0"/>
              <w:jc w:val="left"/>
            </w:pPr>
            <w:r>
              <w:t xml:space="preserve">(3,9) </w:t>
            </w:r>
          </w:p>
        </w:tc>
        <w:tc>
          <w:tcPr>
            <w:tcW w:w="729" w:type="dxa"/>
            <w:tcBorders>
              <w:top w:val="single" w:sz="8" w:space="0" w:color="D0CECE"/>
              <w:left w:val="nil"/>
              <w:bottom w:val="single" w:sz="8" w:space="0" w:color="D0CECE"/>
              <w:right w:val="nil"/>
            </w:tcBorders>
          </w:tcPr>
          <w:p w14:paraId="7AB6E3EE" w14:textId="77777777" w:rsidR="00800A72" w:rsidRDefault="00000000">
            <w:pPr>
              <w:spacing w:after="0" w:line="259" w:lineRule="auto"/>
              <w:ind w:left="0" w:right="0" w:firstLine="0"/>
            </w:pPr>
            <w:r>
              <w:rPr>
                <w:sz w:val="20"/>
              </w:rPr>
              <w:t xml:space="preserve">(1,0%) </w:t>
            </w:r>
          </w:p>
        </w:tc>
      </w:tr>
      <w:tr w:rsidR="00800A72" w14:paraId="5661C37D" w14:textId="77777777">
        <w:trPr>
          <w:trHeight w:val="353"/>
        </w:trPr>
        <w:tc>
          <w:tcPr>
            <w:tcW w:w="3566" w:type="dxa"/>
            <w:tcBorders>
              <w:top w:val="single" w:sz="8" w:space="0" w:color="D0CECE"/>
              <w:left w:val="nil"/>
              <w:bottom w:val="single" w:sz="8" w:space="0" w:color="D0CECE"/>
              <w:right w:val="nil"/>
            </w:tcBorders>
          </w:tcPr>
          <w:p w14:paraId="6F81BC79" w14:textId="77777777" w:rsidR="00800A72" w:rsidRDefault="00000000">
            <w:pPr>
              <w:spacing w:after="0" w:line="259" w:lineRule="auto"/>
              <w:ind w:left="106" w:right="0" w:firstLine="0"/>
              <w:jc w:val="left"/>
            </w:pPr>
            <w:r>
              <w:t xml:space="preserve">Μη Αεροπορικές Δραστηριότητες </w:t>
            </w:r>
          </w:p>
        </w:tc>
        <w:tc>
          <w:tcPr>
            <w:tcW w:w="859" w:type="dxa"/>
            <w:tcBorders>
              <w:top w:val="single" w:sz="8" w:space="0" w:color="D0CECE"/>
              <w:left w:val="nil"/>
              <w:bottom w:val="single" w:sz="8" w:space="0" w:color="D0CECE"/>
              <w:right w:val="nil"/>
            </w:tcBorders>
          </w:tcPr>
          <w:p w14:paraId="5F28604C" w14:textId="77777777" w:rsidR="00800A72" w:rsidRDefault="00000000">
            <w:pPr>
              <w:spacing w:after="0" w:line="259" w:lineRule="auto"/>
              <w:ind w:left="75" w:right="0" w:firstLine="0"/>
              <w:jc w:val="left"/>
            </w:pPr>
            <w:r>
              <w:t xml:space="preserve">136,4  </w:t>
            </w:r>
          </w:p>
        </w:tc>
        <w:tc>
          <w:tcPr>
            <w:tcW w:w="1318" w:type="dxa"/>
            <w:tcBorders>
              <w:top w:val="single" w:sz="8" w:space="0" w:color="D0CECE"/>
              <w:left w:val="nil"/>
              <w:bottom w:val="single" w:sz="8" w:space="0" w:color="D0CECE"/>
              <w:right w:val="nil"/>
            </w:tcBorders>
          </w:tcPr>
          <w:p w14:paraId="2B0324A5" w14:textId="77777777" w:rsidR="00800A72" w:rsidRDefault="00000000">
            <w:pPr>
              <w:spacing w:after="0" w:line="259" w:lineRule="auto"/>
              <w:ind w:left="106" w:right="0" w:firstLine="0"/>
              <w:jc w:val="center"/>
            </w:pPr>
            <w:r>
              <w:rPr>
                <w:sz w:val="20"/>
              </w:rPr>
              <w:t xml:space="preserve">25,7% </w:t>
            </w:r>
          </w:p>
        </w:tc>
        <w:tc>
          <w:tcPr>
            <w:tcW w:w="773" w:type="dxa"/>
            <w:tcBorders>
              <w:top w:val="single" w:sz="8" w:space="0" w:color="D0CECE"/>
              <w:left w:val="nil"/>
              <w:bottom w:val="single" w:sz="8" w:space="0" w:color="D0CECE"/>
              <w:right w:val="nil"/>
            </w:tcBorders>
          </w:tcPr>
          <w:p w14:paraId="32A18A09" w14:textId="77777777" w:rsidR="00800A72" w:rsidRDefault="00000000">
            <w:pPr>
              <w:spacing w:after="0" w:line="259" w:lineRule="auto"/>
              <w:ind w:left="74" w:right="0" w:firstLine="0"/>
              <w:jc w:val="left"/>
            </w:pPr>
            <w:r>
              <w:t xml:space="preserve">129,5  </w:t>
            </w:r>
          </w:p>
        </w:tc>
        <w:tc>
          <w:tcPr>
            <w:tcW w:w="1750" w:type="dxa"/>
            <w:tcBorders>
              <w:top w:val="single" w:sz="8" w:space="0" w:color="D0CECE"/>
              <w:left w:val="nil"/>
              <w:bottom w:val="single" w:sz="8" w:space="0" w:color="D0CECE"/>
              <w:right w:val="nil"/>
            </w:tcBorders>
          </w:tcPr>
          <w:p w14:paraId="7A3948AB" w14:textId="77777777" w:rsidR="00800A72" w:rsidRDefault="00000000">
            <w:pPr>
              <w:spacing w:after="0" w:line="259" w:lineRule="auto"/>
              <w:ind w:left="397" w:right="0" w:firstLine="0"/>
              <w:jc w:val="left"/>
            </w:pPr>
            <w:r>
              <w:rPr>
                <w:sz w:val="20"/>
              </w:rPr>
              <w:t xml:space="preserve">24,6% </w:t>
            </w:r>
          </w:p>
        </w:tc>
        <w:tc>
          <w:tcPr>
            <w:tcW w:w="992" w:type="dxa"/>
            <w:tcBorders>
              <w:top w:val="single" w:sz="8" w:space="0" w:color="D0CECE"/>
              <w:left w:val="nil"/>
              <w:bottom w:val="single" w:sz="8" w:space="0" w:color="D0CECE"/>
              <w:right w:val="nil"/>
            </w:tcBorders>
          </w:tcPr>
          <w:p w14:paraId="02A5BA51" w14:textId="77777777" w:rsidR="00800A72" w:rsidRDefault="00000000">
            <w:pPr>
              <w:spacing w:after="0" w:line="259" w:lineRule="auto"/>
              <w:ind w:left="151" w:right="0" w:firstLine="0"/>
              <w:jc w:val="left"/>
            </w:pPr>
            <w:r>
              <w:t xml:space="preserve">7,0  </w:t>
            </w:r>
          </w:p>
        </w:tc>
        <w:tc>
          <w:tcPr>
            <w:tcW w:w="729" w:type="dxa"/>
            <w:tcBorders>
              <w:top w:val="single" w:sz="8" w:space="0" w:color="D0CECE"/>
              <w:left w:val="nil"/>
              <w:bottom w:val="single" w:sz="8" w:space="0" w:color="D0CECE"/>
              <w:right w:val="nil"/>
            </w:tcBorders>
          </w:tcPr>
          <w:p w14:paraId="2AE96202" w14:textId="77777777" w:rsidR="00800A72" w:rsidRDefault="00000000">
            <w:pPr>
              <w:spacing w:after="0" w:line="259" w:lineRule="auto"/>
              <w:ind w:left="149" w:right="0" w:firstLine="0"/>
            </w:pPr>
            <w:r>
              <w:rPr>
                <w:sz w:val="20"/>
              </w:rPr>
              <w:t xml:space="preserve">5,4% </w:t>
            </w:r>
          </w:p>
        </w:tc>
      </w:tr>
      <w:tr w:rsidR="00800A72" w14:paraId="3FC1DC08" w14:textId="77777777">
        <w:trPr>
          <w:trHeight w:val="482"/>
        </w:trPr>
        <w:tc>
          <w:tcPr>
            <w:tcW w:w="3566" w:type="dxa"/>
            <w:tcBorders>
              <w:top w:val="single" w:sz="8" w:space="0" w:color="D0CECE"/>
              <w:left w:val="nil"/>
              <w:bottom w:val="single" w:sz="8" w:space="0" w:color="D0CECE"/>
              <w:right w:val="nil"/>
            </w:tcBorders>
            <w:shd w:val="clear" w:color="auto" w:fill="E2E8F6"/>
          </w:tcPr>
          <w:p w14:paraId="7F957E4E" w14:textId="77777777" w:rsidR="00800A72" w:rsidRDefault="00000000">
            <w:pPr>
              <w:spacing w:after="0" w:line="259" w:lineRule="auto"/>
              <w:ind w:left="106" w:right="0" w:firstLine="0"/>
              <w:jc w:val="left"/>
            </w:pPr>
            <w:r>
              <w:t xml:space="preserve">Συνολικά έσοδα και λοιπά εισοδήματα </w:t>
            </w:r>
          </w:p>
        </w:tc>
        <w:tc>
          <w:tcPr>
            <w:tcW w:w="859" w:type="dxa"/>
            <w:tcBorders>
              <w:top w:val="single" w:sz="8" w:space="0" w:color="D0CECE"/>
              <w:left w:val="nil"/>
              <w:bottom w:val="single" w:sz="8" w:space="0" w:color="D0CECE"/>
              <w:right w:val="nil"/>
            </w:tcBorders>
            <w:shd w:val="clear" w:color="auto" w:fill="E2E8F6"/>
            <w:vAlign w:val="center"/>
          </w:tcPr>
          <w:p w14:paraId="251B65C2" w14:textId="77777777" w:rsidR="00800A72" w:rsidRDefault="00000000">
            <w:pPr>
              <w:spacing w:after="0" w:line="259" w:lineRule="auto"/>
              <w:ind w:left="0" w:right="0" w:firstLine="0"/>
              <w:jc w:val="left"/>
            </w:pPr>
            <w:r>
              <w:t xml:space="preserve">530,0  </w:t>
            </w:r>
          </w:p>
        </w:tc>
        <w:tc>
          <w:tcPr>
            <w:tcW w:w="1318" w:type="dxa"/>
            <w:tcBorders>
              <w:top w:val="single" w:sz="8" w:space="0" w:color="D0CECE"/>
              <w:left w:val="nil"/>
              <w:bottom w:val="single" w:sz="8" w:space="0" w:color="D0CECE"/>
              <w:right w:val="nil"/>
            </w:tcBorders>
            <w:shd w:val="clear" w:color="auto" w:fill="E2E8F6"/>
            <w:vAlign w:val="center"/>
          </w:tcPr>
          <w:p w14:paraId="271B7ADA" w14:textId="77777777" w:rsidR="00800A72" w:rsidRDefault="00000000">
            <w:pPr>
              <w:spacing w:after="0" w:line="259" w:lineRule="auto"/>
              <w:ind w:left="908" w:right="0" w:firstLine="0"/>
              <w:jc w:val="left"/>
            </w:pPr>
            <w:r>
              <w:rPr>
                <w:sz w:val="20"/>
              </w:rPr>
              <w:t xml:space="preserve">  </w:t>
            </w:r>
          </w:p>
        </w:tc>
        <w:tc>
          <w:tcPr>
            <w:tcW w:w="773" w:type="dxa"/>
            <w:tcBorders>
              <w:top w:val="single" w:sz="8" w:space="0" w:color="D0CECE"/>
              <w:left w:val="nil"/>
              <w:bottom w:val="single" w:sz="8" w:space="0" w:color="D0CECE"/>
              <w:right w:val="nil"/>
            </w:tcBorders>
            <w:shd w:val="clear" w:color="auto" w:fill="E2E8F6"/>
            <w:vAlign w:val="center"/>
          </w:tcPr>
          <w:p w14:paraId="6444B996" w14:textId="77777777" w:rsidR="00800A72" w:rsidRDefault="00000000">
            <w:pPr>
              <w:spacing w:after="0" w:line="259" w:lineRule="auto"/>
              <w:ind w:left="0" w:right="0" w:firstLine="0"/>
              <w:jc w:val="left"/>
            </w:pPr>
            <w:r>
              <w:t xml:space="preserve">526,9  </w:t>
            </w:r>
          </w:p>
        </w:tc>
        <w:tc>
          <w:tcPr>
            <w:tcW w:w="1750" w:type="dxa"/>
            <w:tcBorders>
              <w:top w:val="single" w:sz="8" w:space="0" w:color="D0CECE"/>
              <w:left w:val="nil"/>
              <w:bottom w:val="single" w:sz="8" w:space="0" w:color="D0CECE"/>
              <w:right w:val="nil"/>
            </w:tcBorders>
            <w:shd w:val="clear" w:color="auto" w:fill="E2E8F6"/>
            <w:vAlign w:val="center"/>
          </w:tcPr>
          <w:p w14:paraId="3B9098C4" w14:textId="77777777" w:rsidR="00800A72" w:rsidRDefault="00000000">
            <w:pPr>
              <w:spacing w:after="0" w:line="259" w:lineRule="auto"/>
              <w:ind w:left="208" w:right="0" w:firstLine="0"/>
              <w:jc w:val="center"/>
            </w:pPr>
            <w:r>
              <w:t xml:space="preserve">  </w:t>
            </w:r>
          </w:p>
        </w:tc>
        <w:tc>
          <w:tcPr>
            <w:tcW w:w="992" w:type="dxa"/>
            <w:tcBorders>
              <w:top w:val="single" w:sz="8" w:space="0" w:color="D0CECE"/>
              <w:left w:val="nil"/>
              <w:bottom w:val="single" w:sz="8" w:space="0" w:color="D0CECE"/>
              <w:right w:val="nil"/>
            </w:tcBorders>
            <w:shd w:val="clear" w:color="auto" w:fill="E2E8F6"/>
            <w:vAlign w:val="center"/>
          </w:tcPr>
          <w:p w14:paraId="354178E9" w14:textId="77777777" w:rsidR="00800A72" w:rsidRDefault="00000000">
            <w:pPr>
              <w:spacing w:after="0" w:line="259" w:lineRule="auto"/>
              <w:ind w:left="110" w:right="0" w:firstLine="0"/>
              <w:jc w:val="left"/>
            </w:pPr>
            <w:r>
              <w:t xml:space="preserve">3,1  </w:t>
            </w:r>
          </w:p>
        </w:tc>
        <w:tc>
          <w:tcPr>
            <w:tcW w:w="729" w:type="dxa"/>
            <w:tcBorders>
              <w:top w:val="single" w:sz="8" w:space="0" w:color="D0CECE"/>
              <w:left w:val="nil"/>
              <w:bottom w:val="single" w:sz="8" w:space="0" w:color="D0CECE"/>
              <w:right w:val="nil"/>
            </w:tcBorders>
            <w:shd w:val="clear" w:color="auto" w:fill="E2E8F6"/>
            <w:vAlign w:val="center"/>
          </w:tcPr>
          <w:p w14:paraId="2BC85717" w14:textId="77777777" w:rsidR="00800A72" w:rsidRDefault="00000000">
            <w:pPr>
              <w:spacing w:after="0" w:line="259" w:lineRule="auto"/>
              <w:ind w:left="67" w:right="0" w:firstLine="0"/>
            </w:pPr>
            <w:r>
              <w:rPr>
                <w:sz w:val="20"/>
              </w:rPr>
              <w:t xml:space="preserve">0,6% </w:t>
            </w:r>
          </w:p>
        </w:tc>
      </w:tr>
    </w:tbl>
    <w:p w14:paraId="0B22EE1C" w14:textId="77777777" w:rsidR="00800A72" w:rsidRDefault="00000000">
      <w:pPr>
        <w:ind w:left="8" w:right="29"/>
      </w:pPr>
      <w:r>
        <w:t xml:space="preserve">Κατά το εννεάμηνο του 2026, το σύνολο εσόδων και λοιπών εισοδημάτων αυξήθηκε κατά 0,6%, σε €530,0 εκατ. από €526,9 εκατ. το εννεάμηνο του 2025. </w:t>
      </w:r>
    </w:p>
    <w:p w14:paraId="56155B6C" w14:textId="77777777" w:rsidR="00800A72" w:rsidRDefault="00000000">
      <w:pPr>
        <w:ind w:left="8" w:right="29"/>
      </w:pPr>
      <w:r>
        <w:t xml:space="preserve">Τα έσοδα και λοιπά εισοδήματα από Αεροπορικές Δραστηριότητες διαμορφώθηκαν σε €393,6 εκατ., καταγράφοντας μείωση 1,0% σε σύγκριση με το εννεάμηνο του 2025. Η εξέλιξη αυτή αποδίδεται κυρίως στην τιμολογιακή πολιτική των Αεροπορικών Χρεώσεων της Εταιρείας και, ειδικότερα, στην εφαρμογή της προσωρινής έκπτωσης 30% στο Τέλος Εξυπηρέτησης Επιβατών, η </w:t>
      </w:r>
      <w:r>
        <w:lastRenderedPageBreak/>
        <w:t>οποία ίσχυσε από την 1</w:t>
      </w:r>
      <w:r>
        <w:rPr>
          <w:vertAlign w:val="superscript"/>
        </w:rPr>
        <w:t>η</w:t>
      </w:r>
      <w:r>
        <w:t xml:space="preserve"> Οκτωβρίου 2025 έως την 30</w:t>
      </w:r>
      <w:r>
        <w:rPr>
          <w:vertAlign w:val="superscript"/>
        </w:rPr>
        <w:t>η</w:t>
      </w:r>
      <w:r>
        <w:t xml:space="preserve"> Απριλίου 2026. Η εν λόγω έκπτωση εφαρμόστηκε με στόχο την εναρμόνιση της κερδοφορίας των Αεροπορικών Δραστηριοτήτων για το 2026 με τη μέγιστη απόδοση 15% επί του Κεφαλαίου Αεροπορικών Δραστηριοτήτων, σύμφωνα με το ρυθμιστικό πλαίσιο</w:t>
      </w:r>
      <w:r>
        <w:rPr>
          <w:vertAlign w:val="superscript"/>
        </w:rPr>
        <w:footnoteReference w:id="2"/>
      </w:r>
      <w:r>
        <w:t xml:space="preserve">, μετά την εξάντληση του Μεταφερόμενου Ποσού. </w:t>
      </w:r>
    </w:p>
    <w:p w14:paraId="0C61215E" w14:textId="77777777" w:rsidR="00800A72" w:rsidRDefault="00000000">
      <w:pPr>
        <w:spacing w:after="0"/>
        <w:ind w:left="8" w:right="29"/>
      </w:pPr>
      <w:r>
        <w:t>Τα έσοδα και λοιπά εισοδήματα από Μη Αεροπορικές Δραστηριότητες ανήλθαν σε €136,4 εκατ. το εννεάμηνο του 2026, καταγράφοντας αύξηση 5,4% έναντι της αντίστοιχης περιόδου του 2025. Κατά το τρίτο τρίμηνο, η αύξηση των εσόδων από εμπορικές δραστηριότητες ήταν μεγαλύτερη από τον αντίστοιχο ρυθμό αύξησης της επιβατικής κίνησης, λόγω της σύνθεσης της επιβατικής κίνησης, ιδιαίτερα στην περιοχή Extra-</w:t>
      </w:r>
      <w:proofErr w:type="spellStart"/>
      <w:r>
        <w:t>Schengen</w:t>
      </w:r>
      <w:proofErr w:type="spellEnd"/>
      <w:r>
        <w:t xml:space="preserve">, τη διατήρηση ισχυρών καταναλωτικών τάσεων καθώς και των </w:t>
      </w:r>
      <w:proofErr w:type="spellStart"/>
      <w:r>
        <w:t>στοχευμένων</w:t>
      </w:r>
      <w:proofErr w:type="spellEnd"/>
      <w:r>
        <w:t xml:space="preserve"> βελτιώσεων που υλοποιήθηκαν στους χώρους εστίασης (F&amp;B) στην περιοχή </w:t>
      </w:r>
      <w:proofErr w:type="spellStart"/>
      <w:r>
        <w:t>Intra-Schengen</w:t>
      </w:r>
      <w:proofErr w:type="spellEnd"/>
      <w:r>
        <w:t xml:space="preserve">. Η θετική αυτή επίδοση αντισταθμίστηκε εν μέρει από τις συνεχιζόμενες πιέσεις στα έσοδα από τις υπηρεσίες στάθμευσης οχημάτων, εξαιτίας των εργασιών κατασκευής του Πολυώροφου Χώρου Στάθμευσης Οχημάτων (MSP), με τις πιέσεις αυτές να είναι ωστόσο ηπιότερες κατά το τρίτο τρίμηνο. Λειτουργικά έξοδα  </w:t>
      </w:r>
    </w:p>
    <w:tbl>
      <w:tblPr>
        <w:tblStyle w:val="TableGrid"/>
        <w:tblW w:w="9881" w:type="dxa"/>
        <w:tblInd w:w="11" w:type="dxa"/>
        <w:tblCellMar>
          <w:top w:w="46" w:type="dxa"/>
          <w:left w:w="0" w:type="dxa"/>
          <w:bottom w:w="0" w:type="dxa"/>
          <w:right w:w="0" w:type="dxa"/>
        </w:tblCellMar>
        <w:tblLook w:val="04A0" w:firstRow="1" w:lastRow="0" w:firstColumn="1" w:lastColumn="0" w:noHBand="0" w:noVBand="1"/>
      </w:tblPr>
      <w:tblGrid>
        <w:gridCol w:w="3669"/>
        <w:gridCol w:w="838"/>
        <w:gridCol w:w="1207"/>
        <w:gridCol w:w="869"/>
        <w:gridCol w:w="1159"/>
        <w:gridCol w:w="1410"/>
        <w:gridCol w:w="729"/>
      </w:tblGrid>
      <w:tr w:rsidR="00800A72" w14:paraId="1C053F4F" w14:textId="77777777">
        <w:trPr>
          <w:trHeight w:val="403"/>
        </w:trPr>
        <w:tc>
          <w:tcPr>
            <w:tcW w:w="3670" w:type="dxa"/>
            <w:tcBorders>
              <w:top w:val="nil"/>
              <w:left w:val="nil"/>
              <w:bottom w:val="nil"/>
              <w:right w:val="nil"/>
            </w:tcBorders>
            <w:shd w:val="clear" w:color="auto" w:fill="305496"/>
          </w:tcPr>
          <w:p w14:paraId="0549D28B" w14:textId="77777777" w:rsidR="00800A72" w:rsidRDefault="00000000">
            <w:pPr>
              <w:spacing w:after="0" w:line="259" w:lineRule="auto"/>
              <w:ind w:left="106" w:right="0" w:firstLine="0"/>
              <w:jc w:val="left"/>
            </w:pPr>
            <w:r>
              <w:rPr>
                <w:color w:val="FFFFFF"/>
              </w:rPr>
              <w:t xml:space="preserve">Λειτουργικά έξοδα </w:t>
            </w:r>
          </w:p>
        </w:tc>
        <w:tc>
          <w:tcPr>
            <w:tcW w:w="838" w:type="dxa"/>
            <w:tcBorders>
              <w:top w:val="nil"/>
              <w:left w:val="nil"/>
              <w:bottom w:val="nil"/>
              <w:right w:val="nil"/>
            </w:tcBorders>
            <w:shd w:val="clear" w:color="auto" w:fill="305496"/>
          </w:tcPr>
          <w:p w14:paraId="7C1EC53B" w14:textId="77777777" w:rsidR="00800A72" w:rsidRDefault="00000000">
            <w:pPr>
              <w:spacing w:after="0" w:line="259" w:lineRule="auto"/>
              <w:ind w:left="277" w:right="0" w:firstLine="0"/>
              <w:jc w:val="center"/>
            </w:pPr>
            <w:r>
              <w:t xml:space="preserve">  </w:t>
            </w:r>
          </w:p>
        </w:tc>
        <w:tc>
          <w:tcPr>
            <w:tcW w:w="1207" w:type="dxa"/>
            <w:tcBorders>
              <w:top w:val="nil"/>
              <w:left w:val="nil"/>
              <w:bottom w:val="nil"/>
              <w:right w:val="nil"/>
            </w:tcBorders>
            <w:shd w:val="clear" w:color="auto" w:fill="305496"/>
          </w:tcPr>
          <w:p w14:paraId="4381651D" w14:textId="77777777" w:rsidR="00800A72" w:rsidRDefault="00000000">
            <w:pPr>
              <w:spacing w:after="0" w:line="259" w:lineRule="auto"/>
              <w:ind w:left="455" w:right="0" w:firstLine="0"/>
              <w:jc w:val="center"/>
            </w:pPr>
            <w:r>
              <w:t xml:space="preserve">  </w:t>
            </w:r>
          </w:p>
        </w:tc>
        <w:tc>
          <w:tcPr>
            <w:tcW w:w="869" w:type="dxa"/>
            <w:tcBorders>
              <w:top w:val="nil"/>
              <w:left w:val="nil"/>
              <w:bottom w:val="nil"/>
              <w:right w:val="nil"/>
            </w:tcBorders>
            <w:shd w:val="clear" w:color="auto" w:fill="305496"/>
          </w:tcPr>
          <w:p w14:paraId="5610ECF7" w14:textId="77777777" w:rsidR="00800A72" w:rsidRDefault="00000000">
            <w:pPr>
              <w:spacing w:after="0" w:line="259" w:lineRule="auto"/>
              <w:ind w:left="241" w:right="0" w:firstLine="0"/>
              <w:jc w:val="center"/>
            </w:pPr>
            <w:r>
              <w:t xml:space="preserve">  </w:t>
            </w:r>
          </w:p>
        </w:tc>
        <w:tc>
          <w:tcPr>
            <w:tcW w:w="1159" w:type="dxa"/>
            <w:tcBorders>
              <w:top w:val="nil"/>
              <w:left w:val="nil"/>
              <w:bottom w:val="nil"/>
              <w:right w:val="nil"/>
            </w:tcBorders>
            <w:shd w:val="clear" w:color="auto" w:fill="305496"/>
          </w:tcPr>
          <w:p w14:paraId="625F9AFE" w14:textId="77777777" w:rsidR="00800A72" w:rsidRDefault="00000000">
            <w:pPr>
              <w:spacing w:after="0" w:line="259" w:lineRule="auto"/>
              <w:ind w:left="503" w:right="0" w:firstLine="0"/>
              <w:jc w:val="center"/>
            </w:pPr>
            <w:r>
              <w:t xml:space="preserve">  </w:t>
            </w:r>
          </w:p>
        </w:tc>
        <w:tc>
          <w:tcPr>
            <w:tcW w:w="1410" w:type="dxa"/>
            <w:tcBorders>
              <w:top w:val="nil"/>
              <w:left w:val="nil"/>
              <w:bottom w:val="nil"/>
              <w:right w:val="nil"/>
            </w:tcBorders>
            <w:shd w:val="clear" w:color="auto" w:fill="305496"/>
          </w:tcPr>
          <w:p w14:paraId="08C9E542" w14:textId="77777777" w:rsidR="00800A72" w:rsidRDefault="00000000">
            <w:pPr>
              <w:spacing w:after="0" w:line="259" w:lineRule="auto"/>
              <w:ind w:left="550" w:right="0" w:firstLine="0"/>
              <w:jc w:val="center"/>
            </w:pPr>
            <w:r>
              <w:t xml:space="preserve">  </w:t>
            </w:r>
          </w:p>
        </w:tc>
        <w:tc>
          <w:tcPr>
            <w:tcW w:w="729" w:type="dxa"/>
            <w:tcBorders>
              <w:top w:val="nil"/>
              <w:left w:val="nil"/>
              <w:bottom w:val="nil"/>
              <w:right w:val="nil"/>
            </w:tcBorders>
            <w:shd w:val="clear" w:color="auto" w:fill="305496"/>
          </w:tcPr>
          <w:p w14:paraId="446CC66E" w14:textId="77777777" w:rsidR="00800A72" w:rsidRDefault="00000000">
            <w:pPr>
              <w:spacing w:after="0" w:line="259" w:lineRule="auto"/>
              <w:ind w:left="0" w:right="45" w:firstLine="0"/>
              <w:jc w:val="right"/>
            </w:pPr>
            <w:r>
              <w:t xml:space="preserve">  </w:t>
            </w:r>
          </w:p>
        </w:tc>
      </w:tr>
      <w:tr w:rsidR="00800A72" w14:paraId="2AA4F805" w14:textId="77777777">
        <w:trPr>
          <w:trHeight w:val="710"/>
        </w:trPr>
        <w:tc>
          <w:tcPr>
            <w:tcW w:w="3670" w:type="dxa"/>
            <w:tcBorders>
              <w:top w:val="nil"/>
              <w:left w:val="nil"/>
              <w:bottom w:val="single" w:sz="4" w:space="0" w:color="D0CECE"/>
              <w:right w:val="nil"/>
            </w:tcBorders>
          </w:tcPr>
          <w:p w14:paraId="105A68E8" w14:textId="77777777" w:rsidR="00800A72" w:rsidRDefault="00000000">
            <w:pPr>
              <w:spacing w:after="0" w:line="259" w:lineRule="auto"/>
              <w:ind w:left="106" w:right="0" w:firstLine="0"/>
              <w:jc w:val="left"/>
            </w:pPr>
            <w:r>
              <w:t xml:space="preserve"> </w:t>
            </w:r>
          </w:p>
          <w:p w14:paraId="77775063" w14:textId="77777777" w:rsidR="00800A72" w:rsidRDefault="00000000">
            <w:pPr>
              <w:spacing w:after="0" w:line="259" w:lineRule="auto"/>
              <w:ind w:left="92" w:right="0" w:firstLine="0"/>
              <w:jc w:val="left"/>
            </w:pPr>
            <w:r>
              <w:rPr>
                <w:sz w:val="20"/>
              </w:rPr>
              <w:t xml:space="preserve">ποσά σε εκατομμύρια ευρώ </w:t>
            </w:r>
          </w:p>
        </w:tc>
        <w:tc>
          <w:tcPr>
            <w:tcW w:w="838" w:type="dxa"/>
            <w:tcBorders>
              <w:top w:val="nil"/>
              <w:left w:val="nil"/>
              <w:bottom w:val="single" w:sz="4" w:space="0" w:color="D0CECE"/>
              <w:right w:val="nil"/>
            </w:tcBorders>
            <w:vAlign w:val="center"/>
          </w:tcPr>
          <w:p w14:paraId="3753EA70" w14:textId="77777777" w:rsidR="00800A72" w:rsidRDefault="00000000">
            <w:pPr>
              <w:spacing w:after="0" w:line="259" w:lineRule="auto"/>
              <w:ind w:left="0" w:right="23" w:firstLine="0"/>
              <w:jc w:val="center"/>
            </w:pPr>
            <w:r>
              <w:t xml:space="preserve">9M </w:t>
            </w:r>
          </w:p>
          <w:p w14:paraId="2955A9EC" w14:textId="77777777" w:rsidR="00800A72" w:rsidRDefault="00000000">
            <w:pPr>
              <w:spacing w:after="0" w:line="259" w:lineRule="auto"/>
              <w:ind w:left="60" w:right="0" w:firstLine="0"/>
              <w:jc w:val="left"/>
            </w:pPr>
            <w:r>
              <w:t xml:space="preserve">2026 </w:t>
            </w:r>
          </w:p>
        </w:tc>
        <w:tc>
          <w:tcPr>
            <w:tcW w:w="1207" w:type="dxa"/>
            <w:tcBorders>
              <w:top w:val="nil"/>
              <w:left w:val="nil"/>
              <w:bottom w:val="single" w:sz="4" w:space="0" w:color="D0CECE"/>
              <w:right w:val="nil"/>
            </w:tcBorders>
          </w:tcPr>
          <w:p w14:paraId="56649767" w14:textId="77777777" w:rsidR="00800A72" w:rsidRDefault="00000000">
            <w:pPr>
              <w:spacing w:after="0" w:line="259" w:lineRule="auto"/>
              <w:ind w:left="0" w:right="0" w:firstLine="257"/>
              <w:jc w:val="left"/>
            </w:pPr>
            <w:r>
              <w:t xml:space="preserve">% επί του Συνόλου </w:t>
            </w:r>
          </w:p>
        </w:tc>
        <w:tc>
          <w:tcPr>
            <w:tcW w:w="869" w:type="dxa"/>
            <w:tcBorders>
              <w:top w:val="nil"/>
              <w:left w:val="nil"/>
              <w:bottom w:val="single" w:sz="4" w:space="0" w:color="D0CECE"/>
              <w:right w:val="nil"/>
            </w:tcBorders>
            <w:vAlign w:val="center"/>
          </w:tcPr>
          <w:p w14:paraId="6C112DFF" w14:textId="77777777" w:rsidR="00800A72" w:rsidRDefault="00000000">
            <w:pPr>
              <w:spacing w:after="0" w:line="259" w:lineRule="auto"/>
              <w:ind w:left="0" w:right="55" w:firstLine="0"/>
              <w:jc w:val="center"/>
            </w:pPr>
            <w:r>
              <w:t xml:space="preserve">9M </w:t>
            </w:r>
          </w:p>
          <w:p w14:paraId="6A1E78D5" w14:textId="77777777" w:rsidR="00800A72" w:rsidRDefault="00000000">
            <w:pPr>
              <w:spacing w:after="0" w:line="259" w:lineRule="auto"/>
              <w:ind w:left="60" w:right="0" w:firstLine="0"/>
              <w:jc w:val="left"/>
            </w:pPr>
            <w:r>
              <w:t xml:space="preserve">2025 </w:t>
            </w:r>
          </w:p>
        </w:tc>
        <w:tc>
          <w:tcPr>
            <w:tcW w:w="1159" w:type="dxa"/>
            <w:tcBorders>
              <w:top w:val="nil"/>
              <w:left w:val="nil"/>
              <w:bottom w:val="single" w:sz="4" w:space="0" w:color="D0CECE"/>
              <w:right w:val="nil"/>
            </w:tcBorders>
          </w:tcPr>
          <w:p w14:paraId="2E0E847B" w14:textId="77777777" w:rsidR="00800A72" w:rsidRDefault="00000000">
            <w:pPr>
              <w:spacing w:after="0" w:line="259" w:lineRule="auto"/>
              <w:ind w:left="0" w:right="0" w:firstLine="257"/>
              <w:jc w:val="left"/>
            </w:pPr>
            <w:r>
              <w:t xml:space="preserve">% επί του Συνόλου </w:t>
            </w:r>
          </w:p>
        </w:tc>
        <w:tc>
          <w:tcPr>
            <w:tcW w:w="1410" w:type="dxa"/>
            <w:tcBorders>
              <w:top w:val="nil"/>
              <w:left w:val="nil"/>
              <w:bottom w:val="single" w:sz="4" w:space="0" w:color="D0CECE"/>
              <w:right w:val="nil"/>
            </w:tcBorders>
            <w:vAlign w:val="center"/>
          </w:tcPr>
          <w:p w14:paraId="7DFD3B3F" w14:textId="77777777" w:rsidR="00800A72" w:rsidRDefault="00000000">
            <w:pPr>
              <w:spacing w:after="0" w:line="259" w:lineRule="auto"/>
              <w:ind w:left="0" w:right="0" w:firstLine="0"/>
              <w:jc w:val="left"/>
            </w:pPr>
            <w:r>
              <w:t xml:space="preserve">Μεταβολή </w:t>
            </w:r>
          </w:p>
        </w:tc>
        <w:tc>
          <w:tcPr>
            <w:tcW w:w="729" w:type="dxa"/>
            <w:tcBorders>
              <w:top w:val="nil"/>
              <w:left w:val="nil"/>
              <w:bottom w:val="single" w:sz="4" w:space="0" w:color="D0CECE"/>
              <w:right w:val="nil"/>
            </w:tcBorders>
            <w:vAlign w:val="center"/>
          </w:tcPr>
          <w:p w14:paraId="76D6D48C" w14:textId="77777777" w:rsidR="00800A72" w:rsidRDefault="00000000">
            <w:pPr>
              <w:spacing w:after="0" w:line="259" w:lineRule="auto"/>
              <w:ind w:left="254" w:right="0" w:firstLine="0"/>
              <w:jc w:val="left"/>
            </w:pPr>
            <w:r>
              <w:t xml:space="preserve">Δ% </w:t>
            </w:r>
          </w:p>
        </w:tc>
      </w:tr>
      <w:tr w:rsidR="00800A72" w14:paraId="6C87F969" w14:textId="77777777">
        <w:trPr>
          <w:trHeight w:val="647"/>
        </w:trPr>
        <w:tc>
          <w:tcPr>
            <w:tcW w:w="3670" w:type="dxa"/>
            <w:tcBorders>
              <w:top w:val="single" w:sz="4" w:space="0" w:color="D0CECE"/>
              <w:left w:val="nil"/>
              <w:bottom w:val="single" w:sz="7" w:space="0" w:color="D0CECE"/>
              <w:right w:val="nil"/>
            </w:tcBorders>
          </w:tcPr>
          <w:p w14:paraId="15CBA6B8" w14:textId="77777777" w:rsidR="00800A72" w:rsidRDefault="00000000">
            <w:pPr>
              <w:spacing w:after="0" w:line="259" w:lineRule="auto"/>
              <w:ind w:left="106" w:right="40" w:firstLine="0"/>
              <w:jc w:val="left"/>
            </w:pPr>
            <w:r>
              <w:rPr>
                <w:sz w:val="18"/>
              </w:rPr>
              <w:t xml:space="preserve">Λειτουργικά έξοδα χωρίς το μεταβλητό τμήμα της αμοιβής για τη χορήγηση δικαιωμάτων </w:t>
            </w:r>
          </w:p>
        </w:tc>
        <w:tc>
          <w:tcPr>
            <w:tcW w:w="838" w:type="dxa"/>
            <w:tcBorders>
              <w:top w:val="single" w:sz="4" w:space="0" w:color="D0CECE"/>
              <w:left w:val="nil"/>
              <w:bottom w:val="single" w:sz="7" w:space="0" w:color="D0CECE"/>
              <w:right w:val="nil"/>
            </w:tcBorders>
            <w:vAlign w:val="center"/>
          </w:tcPr>
          <w:p w14:paraId="40C79E96" w14:textId="77777777" w:rsidR="00800A72" w:rsidRDefault="00000000">
            <w:pPr>
              <w:spacing w:after="0" w:line="259" w:lineRule="auto"/>
              <w:ind w:left="74" w:right="0" w:firstLine="0"/>
              <w:jc w:val="left"/>
            </w:pPr>
            <w:r>
              <w:t xml:space="preserve">153,8  </w:t>
            </w:r>
          </w:p>
        </w:tc>
        <w:tc>
          <w:tcPr>
            <w:tcW w:w="1207" w:type="dxa"/>
            <w:tcBorders>
              <w:top w:val="single" w:sz="4" w:space="0" w:color="D0CECE"/>
              <w:left w:val="nil"/>
              <w:bottom w:val="single" w:sz="7" w:space="0" w:color="D0CECE"/>
              <w:right w:val="nil"/>
            </w:tcBorders>
            <w:vAlign w:val="center"/>
          </w:tcPr>
          <w:p w14:paraId="451BADBE" w14:textId="77777777" w:rsidR="00800A72" w:rsidRDefault="00000000">
            <w:pPr>
              <w:spacing w:after="0" w:line="259" w:lineRule="auto"/>
              <w:ind w:left="250" w:right="0" w:firstLine="0"/>
              <w:jc w:val="left"/>
            </w:pPr>
            <w:r>
              <w:rPr>
                <w:sz w:val="20"/>
              </w:rPr>
              <w:t xml:space="preserve">82,0% </w:t>
            </w:r>
          </w:p>
        </w:tc>
        <w:tc>
          <w:tcPr>
            <w:tcW w:w="869" w:type="dxa"/>
            <w:tcBorders>
              <w:top w:val="single" w:sz="4" w:space="0" w:color="D0CECE"/>
              <w:left w:val="nil"/>
              <w:bottom w:val="single" w:sz="7" w:space="0" w:color="D0CECE"/>
              <w:right w:val="nil"/>
            </w:tcBorders>
            <w:vAlign w:val="center"/>
          </w:tcPr>
          <w:p w14:paraId="51E53647" w14:textId="77777777" w:rsidR="00800A72" w:rsidRDefault="00000000">
            <w:pPr>
              <w:spacing w:after="0" w:line="259" w:lineRule="auto"/>
              <w:ind w:left="74" w:right="0" w:firstLine="0"/>
              <w:jc w:val="left"/>
            </w:pPr>
            <w:r>
              <w:t xml:space="preserve">143,6  </w:t>
            </w:r>
          </w:p>
        </w:tc>
        <w:tc>
          <w:tcPr>
            <w:tcW w:w="1159" w:type="dxa"/>
            <w:tcBorders>
              <w:top w:val="single" w:sz="4" w:space="0" w:color="D0CECE"/>
              <w:left w:val="nil"/>
              <w:bottom w:val="single" w:sz="7" w:space="0" w:color="D0CECE"/>
              <w:right w:val="nil"/>
            </w:tcBorders>
            <w:vAlign w:val="center"/>
          </w:tcPr>
          <w:p w14:paraId="61601CFB" w14:textId="77777777" w:rsidR="00800A72" w:rsidRDefault="00000000">
            <w:pPr>
              <w:spacing w:after="0" w:line="259" w:lineRule="auto"/>
              <w:ind w:left="250" w:right="0" w:firstLine="0"/>
              <w:jc w:val="left"/>
            </w:pPr>
            <w:r>
              <w:rPr>
                <w:sz w:val="20"/>
              </w:rPr>
              <w:t xml:space="preserve">79,7% </w:t>
            </w:r>
          </w:p>
        </w:tc>
        <w:tc>
          <w:tcPr>
            <w:tcW w:w="1410" w:type="dxa"/>
            <w:tcBorders>
              <w:top w:val="single" w:sz="4" w:space="0" w:color="D0CECE"/>
              <w:left w:val="nil"/>
              <w:bottom w:val="single" w:sz="7" w:space="0" w:color="D0CECE"/>
              <w:right w:val="nil"/>
            </w:tcBorders>
            <w:vAlign w:val="center"/>
          </w:tcPr>
          <w:p w14:paraId="3F44A532" w14:textId="77777777" w:rsidR="00800A72" w:rsidRDefault="00000000">
            <w:pPr>
              <w:spacing w:after="0" w:line="259" w:lineRule="auto"/>
              <w:ind w:left="177" w:right="0" w:firstLine="0"/>
              <w:jc w:val="center"/>
            </w:pPr>
            <w:r>
              <w:t xml:space="preserve">10,3  </w:t>
            </w:r>
          </w:p>
        </w:tc>
        <w:tc>
          <w:tcPr>
            <w:tcW w:w="729" w:type="dxa"/>
            <w:tcBorders>
              <w:top w:val="single" w:sz="4" w:space="0" w:color="D0CECE"/>
              <w:left w:val="nil"/>
              <w:bottom w:val="single" w:sz="7" w:space="0" w:color="D0CECE"/>
              <w:right w:val="nil"/>
            </w:tcBorders>
            <w:vAlign w:val="center"/>
          </w:tcPr>
          <w:p w14:paraId="47824B1A" w14:textId="77777777" w:rsidR="00800A72" w:rsidRDefault="00000000">
            <w:pPr>
              <w:spacing w:after="0" w:line="259" w:lineRule="auto"/>
              <w:ind w:left="149" w:right="0" w:firstLine="0"/>
            </w:pPr>
            <w:r>
              <w:rPr>
                <w:sz w:val="20"/>
              </w:rPr>
              <w:t xml:space="preserve">7,1% </w:t>
            </w:r>
          </w:p>
        </w:tc>
      </w:tr>
      <w:tr w:rsidR="00800A72" w14:paraId="548B8369" w14:textId="77777777">
        <w:trPr>
          <w:trHeight w:val="512"/>
        </w:trPr>
        <w:tc>
          <w:tcPr>
            <w:tcW w:w="3670" w:type="dxa"/>
            <w:tcBorders>
              <w:top w:val="single" w:sz="7" w:space="0" w:color="D0CECE"/>
              <w:left w:val="nil"/>
              <w:bottom w:val="single" w:sz="8" w:space="0" w:color="D0CECE"/>
              <w:right w:val="nil"/>
            </w:tcBorders>
          </w:tcPr>
          <w:p w14:paraId="37783099" w14:textId="77777777" w:rsidR="00800A72" w:rsidRDefault="00000000">
            <w:pPr>
              <w:spacing w:after="0" w:line="259" w:lineRule="auto"/>
              <w:ind w:left="106" w:right="20" w:firstLine="0"/>
            </w:pPr>
            <w:r>
              <w:rPr>
                <w:sz w:val="18"/>
              </w:rPr>
              <w:t xml:space="preserve">Αμοιβή για τη χορήγηση δικαιωμάτων - τμήμα μεταβλητής αμοιβής </w:t>
            </w:r>
          </w:p>
        </w:tc>
        <w:tc>
          <w:tcPr>
            <w:tcW w:w="838" w:type="dxa"/>
            <w:tcBorders>
              <w:top w:val="single" w:sz="7" w:space="0" w:color="D0CECE"/>
              <w:left w:val="nil"/>
              <w:bottom w:val="single" w:sz="8" w:space="0" w:color="D0CECE"/>
              <w:right w:val="nil"/>
            </w:tcBorders>
            <w:vAlign w:val="center"/>
          </w:tcPr>
          <w:p w14:paraId="18ED3660" w14:textId="77777777" w:rsidR="00800A72" w:rsidRDefault="00000000">
            <w:pPr>
              <w:spacing w:after="0" w:line="259" w:lineRule="auto"/>
              <w:ind w:left="0" w:right="101" w:firstLine="0"/>
              <w:jc w:val="center"/>
            </w:pPr>
            <w:r>
              <w:t xml:space="preserve">33,7  </w:t>
            </w:r>
          </w:p>
        </w:tc>
        <w:tc>
          <w:tcPr>
            <w:tcW w:w="1207" w:type="dxa"/>
            <w:tcBorders>
              <w:top w:val="single" w:sz="7" w:space="0" w:color="D0CECE"/>
              <w:left w:val="nil"/>
              <w:bottom w:val="single" w:sz="8" w:space="0" w:color="D0CECE"/>
              <w:right w:val="nil"/>
            </w:tcBorders>
            <w:vAlign w:val="center"/>
          </w:tcPr>
          <w:p w14:paraId="5F4BBDB7" w14:textId="77777777" w:rsidR="00800A72" w:rsidRDefault="00000000">
            <w:pPr>
              <w:spacing w:after="0" w:line="259" w:lineRule="auto"/>
              <w:ind w:left="250" w:right="0" w:firstLine="0"/>
              <w:jc w:val="left"/>
            </w:pPr>
            <w:r>
              <w:rPr>
                <w:sz w:val="20"/>
              </w:rPr>
              <w:t xml:space="preserve">18,0% </w:t>
            </w:r>
          </w:p>
        </w:tc>
        <w:tc>
          <w:tcPr>
            <w:tcW w:w="869" w:type="dxa"/>
            <w:tcBorders>
              <w:top w:val="single" w:sz="7" w:space="0" w:color="D0CECE"/>
              <w:left w:val="nil"/>
              <w:bottom w:val="single" w:sz="8" w:space="0" w:color="D0CECE"/>
              <w:right w:val="nil"/>
            </w:tcBorders>
            <w:vAlign w:val="center"/>
          </w:tcPr>
          <w:p w14:paraId="77BA0233" w14:textId="77777777" w:rsidR="00800A72" w:rsidRDefault="00000000">
            <w:pPr>
              <w:spacing w:after="0" w:line="259" w:lineRule="auto"/>
              <w:ind w:left="0" w:right="132" w:firstLine="0"/>
              <w:jc w:val="center"/>
            </w:pPr>
            <w:r>
              <w:t xml:space="preserve">36,5  </w:t>
            </w:r>
          </w:p>
        </w:tc>
        <w:tc>
          <w:tcPr>
            <w:tcW w:w="1159" w:type="dxa"/>
            <w:tcBorders>
              <w:top w:val="single" w:sz="7" w:space="0" w:color="D0CECE"/>
              <w:left w:val="nil"/>
              <w:bottom w:val="single" w:sz="8" w:space="0" w:color="D0CECE"/>
              <w:right w:val="nil"/>
            </w:tcBorders>
            <w:vAlign w:val="center"/>
          </w:tcPr>
          <w:p w14:paraId="35F34DDF" w14:textId="77777777" w:rsidR="00800A72" w:rsidRDefault="00000000">
            <w:pPr>
              <w:spacing w:after="0" w:line="259" w:lineRule="auto"/>
              <w:ind w:left="250" w:right="0" w:firstLine="0"/>
              <w:jc w:val="left"/>
            </w:pPr>
            <w:r>
              <w:rPr>
                <w:sz w:val="20"/>
              </w:rPr>
              <w:t xml:space="preserve">20,3% </w:t>
            </w:r>
          </w:p>
        </w:tc>
        <w:tc>
          <w:tcPr>
            <w:tcW w:w="1410" w:type="dxa"/>
            <w:tcBorders>
              <w:top w:val="single" w:sz="7" w:space="0" w:color="D0CECE"/>
              <w:left w:val="nil"/>
              <w:bottom w:val="single" w:sz="8" w:space="0" w:color="D0CECE"/>
              <w:right w:val="nil"/>
            </w:tcBorders>
            <w:vAlign w:val="center"/>
          </w:tcPr>
          <w:p w14:paraId="51FF3ADA" w14:textId="77777777" w:rsidR="00800A72" w:rsidRDefault="00000000">
            <w:pPr>
              <w:spacing w:after="0" w:line="259" w:lineRule="auto"/>
              <w:ind w:left="126" w:right="0" w:firstLine="0"/>
              <w:jc w:val="center"/>
            </w:pPr>
            <w:r>
              <w:t xml:space="preserve">(2,8) </w:t>
            </w:r>
          </w:p>
        </w:tc>
        <w:tc>
          <w:tcPr>
            <w:tcW w:w="729" w:type="dxa"/>
            <w:tcBorders>
              <w:top w:val="single" w:sz="7" w:space="0" w:color="D0CECE"/>
              <w:left w:val="nil"/>
              <w:bottom w:val="single" w:sz="8" w:space="0" w:color="D0CECE"/>
              <w:right w:val="nil"/>
            </w:tcBorders>
            <w:vAlign w:val="center"/>
          </w:tcPr>
          <w:p w14:paraId="4781AB0A" w14:textId="77777777" w:rsidR="00800A72" w:rsidRDefault="00000000">
            <w:pPr>
              <w:spacing w:after="0" w:line="259" w:lineRule="auto"/>
              <w:ind w:left="0" w:right="0" w:firstLine="0"/>
            </w:pPr>
            <w:r>
              <w:rPr>
                <w:sz w:val="20"/>
              </w:rPr>
              <w:t xml:space="preserve">(7,6%) </w:t>
            </w:r>
          </w:p>
        </w:tc>
      </w:tr>
      <w:tr w:rsidR="00800A72" w14:paraId="35768EF4" w14:textId="77777777">
        <w:trPr>
          <w:trHeight w:val="317"/>
        </w:trPr>
        <w:tc>
          <w:tcPr>
            <w:tcW w:w="3670" w:type="dxa"/>
            <w:tcBorders>
              <w:top w:val="single" w:sz="8" w:space="0" w:color="D0CECE"/>
              <w:left w:val="nil"/>
              <w:bottom w:val="single" w:sz="8" w:space="0" w:color="D0CECE"/>
              <w:right w:val="nil"/>
            </w:tcBorders>
            <w:shd w:val="clear" w:color="auto" w:fill="E2E8F6"/>
          </w:tcPr>
          <w:p w14:paraId="073D38C0" w14:textId="77777777" w:rsidR="00800A72" w:rsidRDefault="00000000">
            <w:pPr>
              <w:spacing w:after="0" w:line="259" w:lineRule="auto"/>
              <w:ind w:left="106" w:right="0" w:firstLine="0"/>
              <w:jc w:val="left"/>
            </w:pPr>
            <w:r>
              <w:t xml:space="preserve">Σύνολο λειτουργικών εξόδων </w:t>
            </w:r>
          </w:p>
        </w:tc>
        <w:tc>
          <w:tcPr>
            <w:tcW w:w="838" w:type="dxa"/>
            <w:tcBorders>
              <w:top w:val="single" w:sz="8" w:space="0" w:color="D0CECE"/>
              <w:left w:val="nil"/>
              <w:bottom w:val="single" w:sz="8" w:space="0" w:color="D0CECE"/>
              <w:right w:val="nil"/>
            </w:tcBorders>
            <w:shd w:val="clear" w:color="auto" w:fill="E2E8F6"/>
          </w:tcPr>
          <w:p w14:paraId="52B6DCEA" w14:textId="77777777" w:rsidR="00800A72" w:rsidRDefault="00000000">
            <w:pPr>
              <w:spacing w:after="0" w:line="259" w:lineRule="auto"/>
              <w:ind w:left="0" w:right="0" w:firstLine="0"/>
              <w:jc w:val="left"/>
            </w:pPr>
            <w:r>
              <w:t xml:space="preserve">187,6  </w:t>
            </w:r>
          </w:p>
        </w:tc>
        <w:tc>
          <w:tcPr>
            <w:tcW w:w="1207" w:type="dxa"/>
            <w:tcBorders>
              <w:top w:val="single" w:sz="8" w:space="0" w:color="D0CECE"/>
              <w:left w:val="nil"/>
              <w:bottom w:val="single" w:sz="8" w:space="0" w:color="D0CECE"/>
              <w:right w:val="nil"/>
            </w:tcBorders>
            <w:shd w:val="clear" w:color="auto" w:fill="E2E8F6"/>
          </w:tcPr>
          <w:p w14:paraId="4C45DB91" w14:textId="77777777" w:rsidR="00800A72" w:rsidRDefault="00000000">
            <w:pPr>
              <w:spacing w:after="0" w:line="259" w:lineRule="auto"/>
              <w:ind w:left="455" w:right="0" w:firstLine="0"/>
              <w:jc w:val="center"/>
            </w:pPr>
            <w:r>
              <w:t xml:space="preserve">  </w:t>
            </w:r>
          </w:p>
        </w:tc>
        <w:tc>
          <w:tcPr>
            <w:tcW w:w="869" w:type="dxa"/>
            <w:tcBorders>
              <w:top w:val="single" w:sz="8" w:space="0" w:color="D0CECE"/>
              <w:left w:val="nil"/>
              <w:bottom w:val="single" w:sz="8" w:space="0" w:color="D0CECE"/>
              <w:right w:val="nil"/>
            </w:tcBorders>
            <w:shd w:val="clear" w:color="auto" w:fill="E2E8F6"/>
          </w:tcPr>
          <w:p w14:paraId="2F052C5C" w14:textId="77777777" w:rsidR="00800A72" w:rsidRDefault="00000000">
            <w:pPr>
              <w:spacing w:after="0" w:line="259" w:lineRule="auto"/>
              <w:ind w:left="0" w:right="0" w:firstLine="0"/>
              <w:jc w:val="left"/>
            </w:pPr>
            <w:r>
              <w:t xml:space="preserve">180,1  </w:t>
            </w:r>
          </w:p>
        </w:tc>
        <w:tc>
          <w:tcPr>
            <w:tcW w:w="1159" w:type="dxa"/>
            <w:tcBorders>
              <w:top w:val="single" w:sz="8" w:space="0" w:color="D0CECE"/>
              <w:left w:val="nil"/>
              <w:bottom w:val="single" w:sz="8" w:space="0" w:color="D0CECE"/>
              <w:right w:val="nil"/>
            </w:tcBorders>
            <w:shd w:val="clear" w:color="auto" w:fill="E2E8F6"/>
          </w:tcPr>
          <w:p w14:paraId="7483815D" w14:textId="77777777" w:rsidR="00800A72" w:rsidRDefault="00000000">
            <w:pPr>
              <w:spacing w:after="0" w:line="259" w:lineRule="auto"/>
              <w:ind w:left="503" w:right="0" w:firstLine="0"/>
              <w:jc w:val="center"/>
            </w:pPr>
            <w:r>
              <w:t xml:space="preserve">  </w:t>
            </w:r>
          </w:p>
        </w:tc>
        <w:tc>
          <w:tcPr>
            <w:tcW w:w="1410" w:type="dxa"/>
            <w:tcBorders>
              <w:top w:val="single" w:sz="8" w:space="0" w:color="D0CECE"/>
              <w:left w:val="nil"/>
              <w:bottom w:val="single" w:sz="8" w:space="0" w:color="D0CECE"/>
              <w:right w:val="nil"/>
            </w:tcBorders>
            <w:shd w:val="clear" w:color="auto" w:fill="E2E8F6"/>
          </w:tcPr>
          <w:p w14:paraId="7406B29C" w14:textId="77777777" w:rsidR="00800A72" w:rsidRDefault="00000000">
            <w:pPr>
              <w:spacing w:after="0" w:line="259" w:lineRule="auto"/>
              <w:ind w:left="243" w:right="0" w:firstLine="0"/>
              <w:jc w:val="center"/>
            </w:pPr>
            <w:r>
              <w:t xml:space="preserve">7,5  </w:t>
            </w:r>
          </w:p>
        </w:tc>
        <w:tc>
          <w:tcPr>
            <w:tcW w:w="729" w:type="dxa"/>
            <w:tcBorders>
              <w:top w:val="single" w:sz="8" w:space="0" w:color="D0CECE"/>
              <w:left w:val="nil"/>
              <w:bottom w:val="single" w:sz="8" w:space="0" w:color="D0CECE"/>
              <w:right w:val="nil"/>
            </w:tcBorders>
            <w:shd w:val="clear" w:color="auto" w:fill="E2E8F6"/>
          </w:tcPr>
          <w:p w14:paraId="3FFF052E" w14:textId="77777777" w:rsidR="00800A72" w:rsidRDefault="00000000">
            <w:pPr>
              <w:spacing w:after="0" w:line="259" w:lineRule="auto"/>
              <w:ind w:left="70" w:right="0" w:firstLine="0"/>
            </w:pPr>
            <w:r>
              <w:rPr>
                <w:sz w:val="20"/>
              </w:rPr>
              <w:t xml:space="preserve">4,2% </w:t>
            </w:r>
          </w:p>
        </w:tc>
      </w:tr>
    </w:tbl>
    <w:p w14:paraId="2056E6EE" w14:textId="77777777" w:rsidR="00800A72" w:rsidRDefault="00000000">
      <w:pPr>
        <w:spacing w:after="403" w:line="259" w:lineRule="auto"/>
        <w:ind w:left="11" w:right="0" w:firstLine="0"/>
        <w:jc w:val="left"/>
      </w:pPr>
      <w:r>
        <w:t xml:space="preserve"> </w:t>
      </w:r>
    </w:p>
    <w:p w14:paraId="40E60C75" w14:textId="77777777" w:rsidR="00800A72" w:rsidRDefault="00000000">
      <w:pPr>
        <w:spacing w:after="0" w:line="259" w:lineRule="auto"/>
        <w:ind w:left="11" w:right="0" w:firstLine="0"/>
        <w:jc w:val="left"/>
      </w:pPr>
      <w:r>
        <w:rPr>
          <w:rFonts w:ascii="Calibri" w:eastAsia="Calibri" w:hAnsi="Calibri" w:cs="Calibri"/>
          <w:noProof/>
          <w:sz w:val="22"/>
        </w:rPr>
        <mc:AlternateContent>
          <mc:Choice Requires="wpg">
            <w:drawing>
              <wp:inline distT="0" distB="0" distL="0" distR="0" wp14:anchorId="1BE71E8E" wp14:editId="0C8BF1C6">
                <wp:extent cx="1780032" cy="9144"/>
                <wp:effectExtent l="0" t="0" r="0" b="0"/>
                <wp:docPr id="12495" name="Group 12495"/>
                <wp:cNvGraphicFramePr/>
                <a:graphic xmlns:a="http://schemas.openxmlformats.org/drawingml/2006/main">
                  <a:graphicData uri="http://schemas.microsoft.com/office/word/2010/wordprocessingGroup">
                    <wpg:wgp>
                      <wpg:cNvGrpSpPr/>
                      <wpg:grpSpPr>
                        <a:xfrm>
                          <a:off x="0" y="0"/>
                          <a:ext cx="1780032" cy="9144"/>
                          <a:chOff x="0" y="0"/>
                          <a:chExt cx="1780032" cy="9144"/>
                        </a:xfrm>
                      </wpg:grpSpPr>
                      <wps:wsp>
                        <wps:cNvPr id="13095" name="Shape 13095"/>
                        <wps:cNvSpPr/>
                        <wps:spPr>
                          <a:xfrm>
                            <a:off x="0" y="0"/>
                            <a:ext cx="1780032" cy="9144"/>
                          </a:xfrm>
                          <a:custGeom>
                            <a:avLst/>
                            <a:gdLst/>
                            <a:ahLst/>
                            <a:cxnLst/>
                            <a:rect l="0" t="0" r="0" b="0"/>
                            <a:pathLst>
                              <a:path w="1780032" h="9144">
                                <a:moveTo>
                                  <a:pt x="0" y="0"/>
                                </a:moveTo>
                                <a:lnTo>
                                  <a:pt x="1780032" y="0"/>
                                </a:lnTo>
                                <a:lnTo>
                                  <a:pt x="17800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2495" style="width:140.16pt;height:0.720032pt;mso-position-horizontal-relative:char;mso-position-vertical-relative:line" coordsize="17800,91">
                <v:shape id="Shape 13096" style="position:absolute;width:17800;height:91;left:0;top:0;" coordsize="1780032,9144" path="m0,0l1780032,0l1780032,9144l0,9144l0,0">
                  <v:stroke weight="0pt" endcap="flat" joinstyle="miter" miterlimit="10" on="false" color="#000000" opacity="0"/>
                  <v:fill on="true" color="#000000"/>
                </v:shape>
              </v:group>
            </w:pict>
          </mc:Fallback>
        </mc:AlternateContent>
      </w:r>
      <w:r>
        <w:rPr>
          <w:sz w:val="21"/>
        </w:rPr>
        <w:t xml:space="preserve"> </w:t>
      </w:r>
    </w:p>
    <w:p w14:paraId="5478AFBB" w14:textId="77777777" w:rsidR="00800A72" w:rsidRDefault="00000000">
      <w:pPr>
        <w:spacing w:after="234"/>
        <w:ind w:left="8" w:right="29"/>
      </w:pPr>
      <w:r>
        <w:t>Τα λειτουργικά έξοδα για το εννεάμηνο του 2026 ανήλθαν σε €187,6 εκατ., σημειώνοντας αύξηση €7,5 εκατ., ή 4,2%, σε σύγκριση με το εννεάμηνο του 2025. Η αύξηση αυτή οφείλεται κυρίως στις πληθωριστικές πιέσεις, στις αναπροσαρμογές κατώτατων μισθών σύμφωνα με το ισχύον νομοθετικό πλαίσιο, καθώς και στους πρόσθετους πόρους (προσωπικό της Εταιρείας και υπηρεσίες από τρίτους) που απαιτήθηκαν για την εξυπηρέτηση της αυξημένης επιβατικής κίνησης, τη διαχείριση των λειτουργικών επιπτώσεων από την εφαρμογή του ευρωπαϊκού Συστήματος Εισόδου/Εξόδου (</w:t>
      </w:r>
      <w:proofErr w:type="spellStart"/>
      <w:r>
        <w:t>Entry</w:t>
      </w:r>
      <w:proofErr w:type="spellEnd"/>
      <w:r>
        <w:t>/</w:t>
      </w:r>
      <w:proofErr w:type="spellStart"/>
      <w:r>
        <w:t>Exit</w:t>
      </w:r>
      <w:proofErr w:type="spellEnd"/>
      <w:r>
        <w:t xml:space="preserve"> </w:t>
      </w:r>
      <w:proofErr w:type="spellStart"/>
      <w:r>
        <w:t>System</w:t>
      </w:r>
      <w:proofErr w:type="spellEnd"/>
      <w:r>
        <w:t xml:space="preserve"> – EES) και τη διατήρηση της ποιότητας των παρεχόμενων υπηρεσιών. Η αύξηση αυτή αντισταθμίστηκε εν μέρει από το χαμηλότερο κόστος υπηρεσιών κοινής ωφέλειας, ως αποτέλεσμα των πρωτοβουλιών εξοικονόμησης ενέργειας του προγράμματος «</w:t>
      </w:r>
      <w:proofErr w:type="spellStart"/>
      <w:r>
        <w:t>Route</w:t>
      </w:r>
      <w:proofErr w:type="spellEnd"/>
      <w:r>
        <w:t xml:space="preserve"> 2025», καθώς και από τη χαμηλότερη Αμοιβή Χορήγησης Δικαιωμάτων, η οποία υπολογίστηκε βάσει της χαμηλότερης κερδοφορίας του προηγούμενου έτους. </w:t>
      </w:r>
    </w:p>
    <w:p w14:paraId="34FA80DC" w14:textId="77777777" w:rsidR="00800A72" w:rsidRDefault="00000000">
      <w:pPr>
        <w:pStyle w:val="2"/>
        <w:spacing w:after="185"/>
        <w:ind w:left="6" w:right="0"/>
      </w:pPr>
      <w:r>
        <w:t xml:space="preserve">EBITDA και Προσαρμοσμένο EBITDA </w:t>
      </w:r>
    </w:p>
    <w:p w14:paraId="092E4F4B" w14:textId="77777777" w:rsidR="00800A72" w:rsidRDefault="00000000">
      <w:pPr>
        <w:spacing w:after="231"/>
        <w:ind w:left="8" w:right="29"/>
      </w:pPr>
      <w:r>
        <w:t xml:space="preserve">Κατά το εννεάμηνο του 2026, τα συνολικά κέρδη προ φόρων, τόκων και αποσβέσεων (EBITDA) διαμορφώθηκαν σε €342,5 εκατ., μειωμένα κατά €4,4 εκατ. ή 1,3% σε σύγκριση με το εννεάμηνο του 2025, ενώ το Προσαρμοσμένο EBITDA διαμορφώθηκε σε €331,2 εκατ., χαμηλότερα επίσης κατά 1,3% σε σχέση με το εννεάμηνο του 2025, σύμφωνα με τους βραχυπρόθεσμους στόχους της Εταιρείας. </w:t>
      </w:r>
    </w:p>
    <w:p w14:paraId="50A49BC7" w14:textId="77777777" w:rsidR="00800A72" w:rsidRDefault="00000000">
      <w:pPr>
        <w:pStyle w:val="2"/>
        <w:spacing w:after="170"/>
        <w:ind w:left="6" w:right="0"/>
      </w:pPr>
      <w:r>
        <w:lastRenderedPageBreak/>
        <w:t xml:space="preserve">Κερδοφορία  </w:t>
      </w:r>
    </w:p>
    <w:p w14:paraId="55F90F96" w14:textId="77777777" w:rsidR="00800A72" w:rsidRDefault="00000000">
      <w:pPr>
        <w:spacing w:after="147"/>
        <w:ind w:left="8" w:right="29"/>
      </w:pPr>
      <w:r>
        <w:t xml:space="preserve">Τα κέρδη προ φόρων για το εννεάμηνο του 2026 διαμορφώθηκαν σε €231,8 εκατ., έναντι €241,0 εκατ. την αντίστοιχη περίοδο του 2025, ενώ τα κέρδη μετά από φόρους ανήλθαν σε €173,5 εκατ., μειωμένα κατά €12,3 εκατ. ή 6,6% έναντι του </w:t>
      </w:r>
      <w:proofErr w:type="spellStart"/>
      <w:r>
        <w:t>εννεαμήνου</w:t>
      </w:r>
      <w:proofErr w:type="spellEnd"/>
      <w:r>
        <w:t xml:space="preserve"> του 2025, σύμφωνα με τους βραχυπρόθεσμους στόχους της Εταιρείας. </w:t>
      </w:r>
    </w:p>
    <w:p w14:paraId="4ED7D5B8" w14:textId="77777777" w:rsidR="00800A72" w:rsidRDefault="00000000">
      <w:pPr>
        <w:spacing w:after="0" w:line="259" w:lineRule="auto"/>
        <w:ind w:left="11" w:right="0" w:firstLine="0"/>
        <w:jc w:val="left"/>
      </w:pPr>
      <w:r>
        <w:t xml:space="preserve"> </w:t>
      </w:r>
      <w:r>
        <w:br w:type="page"/>
      </w:r>
    </w:p>
    <w:p w14:paraId="492EC0B8" w14:textId="77777777" w:rsidR="00800A72" w:rsidRDefault="00000000">
      <w:pPr>
        <w:pStyle w:val="1"/>
        <w:ind w:left="8"/>
      </w:pPr>
      <w:r>
        <w:lastRenderedPageBreak/>
        <w:t xml:space="preserve">Σημαντικά Γεγονότα και Εξελίξεις </w:t>
      </w:r>
    </w:p>
    <w:p w14:paraId="21A43A9F" w14:textId="77777777" w:rsidR="00800A72" w:rsidRDefault="00000000">
      <w:pPr>
        <w:spacing w:after="298" w:line="259" w:lineRule="auto"/>
        <w:ind w:left="11" w:right="0" w:firstLine="0"/>
        <w:jc w:val="left"/>
      </w:pPr>
      <w:r>
        <w:rPr>
          <w:rFonts w:ascii="Calibri" w:eastAsia="Calibri" w:hAnsi="Calibri" w:cs="Calibri"/>
          <w:noProof/>
          <w:sz w:val="22"/>
        </w:rPr>
        <mc:AlternateContent>
          <mc:Choice Requires="wpg">
            <w:drawing>
              <wp:inline distT="0" distB="0" distL="0" distR="0" wp14:anchorId="6FC6F7A4" wp14:editId="3F17500E">
                <wp:extent cx="6237732" cy="18288"/>
                <wp:effectExtent l="0" t="0" r="0" b="0"/>
                <wp:docPr id="10152" name="Group 10152"/>
                <wp:cNvGraphicFramePr/>
                <a:graphic xmlns:a="http://schemas.openxmlformats.org/drawingml/2006/main">
                  <a:graphicData uri="http://schemas.microsoft.com/office/word/2010/wordprocessingGroup">
                    <wpg:wgp>
                      <wpg:cNvGrpSpPr/>
                      <wpg:grpSpPr>
                        <a:xfrm>
                          <a:off x="0" y="0"/>
                          <a:ext cx="6237732" cy="18288"/>
                          <a:chOff x="0" y="0"/>
                          <a:chExt cx="6237732" cy="18288"/>
                        </a:xfrm>
                      </wpg:grpSpPr>
                      <wps:wsp>
                        <wps:cNvPr id="1064" name="Shape 1064"/>
                        <wps:cNvSpPr/>
                        <wps:spPr>
                          <a:xfrm>
                            <a:off x="0" y="0"/>
                            <a:ext cx="6237732" cy="0"/>
                          </a:xfrm>
                          <a:custGeom>
                            <a:avLst/>
                            <a:gdLst/>
                            <a:ahLst/>
                            <a:cxnLst/>
                            <a:rect l="0" t="0" r="0" b="0"/>
                            <a:pathLst>
                              <a:path w="6237732">
                                <a:moveTo>
                                  <a:pt x="0" y="0"/>
                                </a:moveTo>
                                <a:lnTo>
                                  <a:pt x="6237732" y="0"/>
                                </a:lnTo>
                              </a:path>
                            </a:pathLst>
                          </a:custGeom>
                          <a:ln w="18288" cap="flat">
                            <a:miter lim="101600"/>
                          </a:ln>
                        </wps:spPr>
                        <wps:style>
                          <a:lnRef idx="1">
                            <a:srgbClr val="20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152" style="width:491.16pt;height:1.44pt;mso-position-horizontal-relative:char;mso-position-vertical-relative:line" coordsize="62377,182">
                <v:shape id="Shape 1064" style="position:absolute;width:62377;height:0;left:0;top:0;" coordsize="6237732,0" path="m0,0l6237732,0">
                  <v:stroke weight="1.44pt" endcap="flat" joinstyle="miter" miterlimit="8" on="true" color="#203864"/>
                  <v:fill on="false" color="#000000" opacity="0"/>
                </v:shape>
              </v:group>
            </w:pict>
          </mc:Fallback>
        </mc:AlternateContent>
      </w:r>
    </w:p>
    <w:p w14:paraId="3469AF31" w14:textId="77777777" w:rsidR="00800A72" w:rsidRDefault="00000000">
      <w:pPr>
        <w:pStyle w:val="2"/>
        <w:spacing w:after="242"/>
        <w:ind w:left="6" w:right="0"/>
      </w:pPr>
      <w:r>
        <w:t xml:space="preserve">Πρόγραμμα Επέκτασης Αεροδρομίου </w:t>
      </w:r>
    </w:p>
    <w:p w14:paraId="5572C4F0" w14:textId="77777777" w:rsidR="00800A72" w:rsidRDefault="00000000">
      <w:pPr>
        <w:spacing w:after="3"/>
        <w:ind w:left="8" w:right="29"/>
      </w:pPr>
      <w:r>
        <w:t xml:space="preserve">Οι κατασκευαστικές εργασίες στον Πολυώροφο Χώρο Στάθμευσης Οχημάτων (MSP) και στον Βορειοδυτικό Χώρο Στάθμευσης Αεροσκαφών (NWA) συνεχίζονται, με τα δύο έργα να αναμένεται να συμβάλουν στην αναβάθμιση των υποδομών εξυπηρέτησης οχημάτων και στην αύξηση της δυναμικότητας εξυπηρέτησης αεροσκαφών αντίστοιχα. Οι εργασίες για την κατασκευή του νέου VIP </w:t>
      </w:r>
      <w:proofErr w:type="spellStart"/>
      <w:r>
        <w:t>Αεροσταθμού</w:t>
      </w:r>
      <w:proofErr w:type="spellEnd"/>
      <w:r>
        <w:t xml:space="preserve"> βρίσκονται επίσης σε εξέλιξη, ενώ η πρώτη φάση ανάπτυξης του σχετικού χώρου στάθμευσης αεροσκαφών αναμένεται να ολοκληρωθεί έως το τέλος του 2026, παρέχοντας πρόσθετη επιχειρησιακή ευελιξία. </w:t>
      </w:r>
    </w:p>
    <w:p w14:paraId="2EFA18BC" w14:textId="77777777" w:rsidR="00800A72" w:rsidRDefault="00000000">
      <w:pPr>
        <w:spacing w:after="12" w:line="259" w:lineRule="auto"/>
        <w:ind w:left="11" w:right="0" w:firstLine="0"/>
        <w:jc w:val="left"/>
      </w:pPr>
      <w:r>
        <w:t xml:space="preserve"> </w:t>
      </w:r>
    </w:p>
    <w:p w14:paraId="4B93AD34" w14:textId="77777777" w:rsidR="00800A72" w:rsidRDefault="00000000">
      <w:pPr>
        <w:spacing w:after="3"/>
        <w:ind w:left="8" w:right="29"/>
      </w:pPr>
      <w:r>
        <w:t xml:space="preserve">Η διαγωνιστική διαδικασία για την επέκταση της Νότιας Πτέρυγας του Κυρίου </w:t>
      </w:r>
      <w:proofErr w:type="spellStart"/>
      <w:r>
        <w:t>Αεροσταθμού</w:t>
      </w:r>
      <w:proofErr w:type="spellEnd"/>
      <w:r>
        <w:t xml:space="preserve"> ξεκίνησε στις 26 Οκτωβρίου 2026, με τις κατασκευαστικές εργασίες να προγραμματίζεται να αρχίσουν κατά το δεύτερο εξάμηνο του 2027. Παράλληλα, το Γραφείο Μελετών έχει ήδη ξεκινήσει να εργάζεται με αντικείμενο την πραγματοποίηση των απαραίτητων προσαρμογών στον σχεδιασμό για την προετοιμασία του διαγωνισμού επέκτασης της Βόρειας Πτέρυγας, καθώς και την υποστήριξη της Εταιρείας στην αξιολόγηση εναλλακτικών σεναρίων ανάπτυξης, σύμφωνα με την αναθεωρημένη στρατηγική της. </w:t>
      </w:r>
    </w:p>
    <w:p w14:paraId="7B68739C" w14:textId="77777777" w:rsidR="00800A72" w:rsidRDefault="00000000">
      <w:pPr>
        <w:spacing w:after="9" w:line="259" w:lineRule="auto"/>
        <w:ind w:left="11" w:right="0" w:firstLine="0"/>
        <w:jc w:val="left"/>
      </w:pPr>
      <w:r>
        <w:t xml:space="preserve"> </w:t>
      </w:r>
    </w:p>
    <w:p w14:paraId="71283210" w14:textId="77777777" w:rsidR="00800A72" w:rsidRDefault="00000000">
      <w:pPr>
        <w:spacing w:after="0" w:line="259" w:lineRule="auto"/>
        <w:ind w:left="11" w:right="0" w:firstLine="0"/>
        <w:jc w:val="left"/>
      </w:pPr>
      <w:r>
        <w:t xml:space="preserve"> </w:t>
      </w:r>
      <w:r>
        <w:br w:type="page"/>
      </w:r>
    </w:p>
    <w:p w14:paraId="2E157C89" w14:textId="77777777" w:rsidR="00800A72" w:rsidRDefault="00000000">
      <w:pPr>
        <w:pStyle w:val="1"/>
        <w:ind w:left="8"/>
      </w:pPr>
      <w:r>
        <w:lastRenderedPageBreak/>
        <w:t xml:space="preserve">Αποποίηση ευθύνης </w:t>
      </w:r>
    </w:p>
    <w:p w14:paraId="09575CD4" w14:textId="77777777" w:rsidR="00800A72" w:rsidRDefault="00000000">
      <w:pPr>
        <w:spacing w:after="181" w:line="259" w:lineRule="auto"/>
        <w:ind w:left="11" w:right="0" w:firstLine="0"/>
        <w:jc w:val="left"/>
      </w:pPr>
      <w:r>
        <w:rPr>
          <w:rFonts w:ascii="Calibri" w:eastAsia="Calibri" w:hAnsi="Calibri" w:cs="Calibri"/>
          <w:noProof/>
          <w:sz w:val="22"/>
        </w:rPr>
        <mc:AlternateContent>
          <mc:Choice Requires="wpg">
            <w:drawing>
              <wp:inline distT="0" distB="0" distL="0" distR="0" wp14:anchorId="7C66FE20" wp14:editId="1630180D">
                <wp:extent cx="6237732" cy="18288"/>
                <wp:effectExtent l="0" t="0" r="0" b="0"/>
                <wp:docPr id="8786" name="Group 8786"/>
                <wp:cNvGraphicFramePr/>
                <a:graphic xmlns:a="http://schemas.openxmlformats.org/drawingml/2006/main">
                  <a:graphicData uri="http://schemas.microsoft.com/office/word/2010/wordprocessingGroup">
                    <wpg:wgp>
                      <wpg:cNvGrpSpPr/>
                      <wpg:grpSpPr>
                        <a:xfrm>
                          <a:off x="0" y="0"/>
                          <a:ext cx="6237732" cy="18288"/>
                          <a:chOff x="0" y="0"/>
                          <a:chExt cx="6237732" cy="18288"/>
                        </a:xfrm>
                      </wpg:grpSpPr>
                      <wps:wsp>
                        <wps:cNvPr id="1124" name="Shape 1124"/>
                        <wps:cNvSpPr/>
                        <wps:spPr>
                          <a:xfrm>
                            <a:off x="0" y="0"/>
                            <a:ext cx="6237732" cy="0"/>
                          </a:xfrm>
                          <a:custGeom>
                            <a:avLst/>
                            <a:gdLst/>
                            <a:ahLst/>
                            <a:cxnLst/>
                            <a:rect l="0" t="0" r="0" b="0"/>
                            <a:pathLst>
                              <a:path w="6237732">
                                <a:moveTo>
                                  <a:pt x="0" y="0"/>
                                </a:moveTo>
                                <a:lnTo>
                                  <a:pt x="6237732" y="0"/>
                                </a:lnTo>
                              </a:path>
                            </a:pathLst>
                          </a:custGeom>
                          <a:ln w="18288" cap="flat">
                            <a:miter lim="101600"/>
                          </a:ln>
                        </wps:spPr>
                        <wps:style>
                          <a:lnRef idx="1">
                            <a:srgbClr val="20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786" style="width:491.16pt;height:1.44pt;mso-position-horizontal-relative:char;mso-position-vertical-relative:line" coordsize="62377,182">
                <v:shape id="Shape 1124" style="position:absolute;width:62377;height:0;left:0;top:0;" coordsize="6237732,0" path="m0,0l6237732,0">
                  <v:stroke weight="1.44pt" endcap="flat" joinstyle="miter" miterlimit="8" on="true" color="#203864"/>
                  <v:fill on="false" color="#000000" opacity="0"/>
                </v:shape>
              </v:group>
            </w:pict>
          </mc:Fallback>
        </mc:AlternateContent>
      </w:r>
    </w:p>
    <w:p w14:paraId="7790E84F" w14:textId="77777777" w:rsidR="00800A72" w:rsidRDefault="00000000">
      <w:pPr>
        <w:ind w:left="8" w:right="29"/>
      </w:pPr>
      <w:r>
        <w:t xml:space="preserve">Το παρόν έγγραφο παρουσιάζει τα Οικονομικά Αποτελέσματα και βασικές χρηματοοικονομικές πληροφορίες του ΔΑΑ για το εννεάμηνο που έληξε στις 30 Σεπτεμβρίου 2026 και έχει καταρτιστεί, από κάθε ουσιώδη άποψη, σύμφωνα με τα Διεθνή Πρότυπα Χρηματοοικονομικής Αναφοράς (ΔΠΧΑ) και τις βασικές λογιστικές αρχές που εφαρμόζει ο ΔΑΑ. </w:t>
      </w:r>
    </w:p>
    <w:p w14:paraId="0D2D20DA" w14:textId="77777777" w:rsidR="00800A72" w:rsidRDefault="00000000">
      <w:pPr>
        <w:ind w:left="8" w:right="29"/>
      </w:pPr>
      <w:r>
        <w:t xml:space="preserve">Τα Οικονομικά Αποτελέσματα και οι βασικές χρηματοοικονομικές πληροφορίες που παρουσιάζονται στο παρόν έγγραφο αφορούν μη ελεγμένα οικονομικά μεγέθη και περιλαμβάνουν τις εκτιμήσεις της Διοίκησης του ΔΑΑ και προβλέψεις σχετικά με οικονομικά στοιχεία ή άλλα γεγονότα του οικονομικού έτους 2026. </w:t>
      </w:r>
    </w:p>
    <w:p w14:paraId="1752124E" w14:textId="77777777" w:rsidR="00800A72" w:rsidRDefault="00000000">
      <w:pPr>
        <w:ind w:left="8" w:right="29"/>
      </w:pPr>
      <w:r>
        <w:t xml:space="preserve">Το παρόν έγγραφο περιέχει επίσης προβλέψεις για το μέλλον που ενέχουν κινδύνους και αβεβαιότητες. Αυτές οι δηλώσεις μπορούν γενικά, αλλά όχι πάντα, να αναγνωρίζονται από τη χρήση λέξεων όπως "προοπτικές", "καθοδήγηση", "αναμένω", "σχεδιάζω", "σκοπεύω", "προβλέπω", "πιστεύω", "στόχος" και παρόμοιων εκφράσεων για την αναγνώριση προβλέψεων. Όλες οι δηλώσεις πέραν όσων αφορούν σε ιστορικά γεγονότα, συμπεριλαμβανομένων, μεταξύ άλλων, δηλώσεων σχετικά με τη μελλοντική χρηματοοικονομική θέση και τα αποτελέσματα του ΔΑΑ, τις προοπτικές για το 2026 και τα μελλοντικά έτη, σύμφωνα με την επιχειρηματική στρατηγική του ΔΑΑ, τις επιπτώσεις των παγκόσμιων και εγχώριων οικονομικών συνθηκών, τους ισχύοντες φορολογικούς συντελεστές, τη διανομή μερίσματος και τις πρωτοβουλίες της Διοίκησης σχετικά με την επιχειρηματική και χρηματοοικονομική κατάσταση του ΔΑΑ, αποτελούν προβλέψεις. Τέτοιες προβλέψεις καθώς και οι εκτιμήσεις μελλοντικών χρηματοοικονομικών επιδόσεων δεν αποτελούν εγγυήσεις για μελλοντικές επιδόσεις και ενέχουν πολυάριθμους γνωστούς και άγνωστους κινδύνους, αβεβαιότητες, τόσο γενικές όσο και ειδικές, και παραδοχές που είναι δύσκολο να προβλεφθούν και βρίσκονται εκτός της σφαίρας επιρροής της Εταιρείας. Έχουμε βασίσει αυτές τις παραδοχές σε πληροφορίες που είχαμε στη διάθεσή μας κατά την ημερομηνία των δηλώσεων και, εάν μία ή περισσότερες από τις εν λόγω παραδοχές αποδειχθούν εσφαλμένες, τα πραγματικά αποτελέσματα και γεγονότα ενδέχεται να διαφέρουν σημαντικά από αυτά που εκφράζονται στις εν λόγω προβλέψεις. Παρόλο που δεν γνωρίζουμε τον αντίκτυπο που αυτές οι διαφορές θα έχουν στην επιχειρηματική δραστηριότητά μας, εάν υπάρξουν τέτοιες διαφορές, τα μελλοντικά αποτελέσματα λειτουργίας μας και η χρηματοοικονομική μας κατάσταση θα μπορούσαν να επηρεαστούν σημαντικά κατά τρόπο δυσμενή. Ως εκ τούτου, δεν θα πρέπει να βασιστείτε υπέρμετρα σε αυτές τις προβλέψεις και στις εκτιμήσεις μελλοντικών χρηματοοικονομικών επιδόσεων. </w:t>
      </w:r>
    </w:p>
    <w:p w14:paraId="4294FC46" w14:textId="77777777" w:rsidR="00800A72" w:rsidRDefault="00000000">
      <w:pPr>
        <w:spacing w:after="145"/>
        <w:ind w:left="8" w:right="29"/>
      </w:pPr>
      <w:r>
        <w:t xml:space="preserve">Παρόλο που η Εταιρεία πιστεύει ότι, κατά την ημερομηνία του παρόντος εγγράφου, οι προσδοκίες που αντικατοπτρίζονται στις μελλοντικές προβλέψεις είναι εύλογες, δεν μπορούμε να σας διαβεβαιώσουμε ότι τα μελλοντικά αποτελέσματα, το επίπεδο δραστηριότητας, οι επιδόσεις ή τα επιτεύγματά μας θα ανταποκριθούν στις προσδοκίες αυτές. Επιπλέον, ούτε τα μέλη του Διοικητικού Συμβουλίου, οι υπάλληλοι, οι σύμβουλοι της Εταιρείας ούτε οποιοδήποτε άλλο πρόσωπο αναλαμβάνει την ευθύνη για την ακρίβεια και την πληρότητα των προβλέψεων. Μετά την ημερομηνία του παρόντος, το οποίο αφορά μη ελεγμένα οικονομικά μεγέθη, εκτός εάν απαιτείται από το νόμο να </w:t>
      </w:r>
      <w:proofErr w:type="spellStart"/>
      <w:r>
        <w:t>επικαιροποιήσει</w:t>
      </w:r>
      <w:proofErr w:type="spellEnd"/>
      <w:r>
        <w:t xml:space="preserve"> τις δηλώσεις μελλοντικών προβλέψεων, η Εταιρεία δεν θα </w:t>
      </w:r>
      <w:proofErr w:type="spellStart"/>
      <w:r>
        <w:t>επικαιροποιήσει</w:t>
      </w:r>
      <w:proofErr w:type="spellEnd"/>
      <w:r>
        <w:t xml:space="preserve"> κατ’ ανάγκη καμία από αυτές τις δηλώσεις μελλοντικών προβλέψεων για να τις προσαρμόσει είτε στα πραγματικά αποτελέσματα είτε στις αλλαγές των προσδοκιών. </w:t>
      </w:r>
    </w:p>
    <w:p w14:paraId="689EDD46" w14:textId="77777777" w:rsidR="00800A72" w:rsidRDefault="00000000">
      <w:pPr>
        <w:spacing w:after="173" w:line="259" w:lineRule="auto"/>
        <w:ind w:left="361" w:right="0" w:firstLine="0"/>
        <w:jc w:val="left"/>
      </w:pPr>
      <w:r>
        <w:t xml:space="preserve"> </w:t>
      </w:r>
    </w:p>
    <w:p w14:paraId="319BAA16" w14:textId="77777777" w:rsidR="00800A72" w:rsidRDefault="00000000">
      <w:pPr>
        <w:spacing w:after="0" w:line="259" w:lineRule="auto"/>
        <w:ind w:left="8" w:right="0"/>
        <w:jc w:val="left"/>
      </w:pPr>
      <w:r>
        <w:rPr>
          <w:color w:val="2F5496"/>
        </w:rPr>
        <w:t xml:space="preserve">Σχετικά με την εταιρεία Διεθνής Αερολιμένας Αθηνών Α.Ε.  </w:t>
      </w:r>
    </w:p>
    <w:p w14:paraId="3BD8D7CC" w14:textId="77777777" w:rsidR="00800A72" w:rsidRDefault="00000000">
      <w:pPr>
        <w:spacing w:after="147" w:line="259" w:lineRule="auto"/>
        <w:ind w:left="6" w:right="0" w:firstLine="0"/>
        <w:jc w:val="left"/>
      </w:pPr>
      <w:r>
        <w:rPr>
          <w:rFonts w:ascii="Calibri" w:eastAsia="Calibri" w:hAnsi="Calibri" w:cs="Calibri"/>
          <w:noProof/>
          <w:sz w:val="22"/>
        </w:rPr>
        <mc:AlternateContent>
          <mc:Choice Requires="wpg">
            <w:drawing>
              <wp:inline distT="0" distB="0" distL="0" distR="0" wp14:anchorId="4E17591A" wp14:editId="70C224FE">
                <wp:extent cx="6237732" cy="18288"/>
                <wp:effectExtent l="0" t="0" r="0" b="0"/>
                <wp:docPr id="8787" name="Group 8787"/>
                <wp:cNvGraphicFramePr/>
                <a:graphic xmlns:a="http://schemas.openxmlformats.org/drawingml/2006/main">
                  <a:graphicData uri="http://schemas.microsoft.com/office/word/2010/wordprocessingGroup">
                    <wpg:wgp>
                      <wpg:cNvGrpSpPr/>
                      <wpg:grpSpPr>
                        <a:xfrm>
                          <a:off x="0" y="0"/>
                          <a:ext cx="6237732" cy="18288"/>
                          <a:chOff x="0" y="0"/>
                          <a:chExt cx="6237732" cy="18288"/>
                        </a:xfrm>
                      </wpg:grpSpPr>
                      <wps:wsp>
                        <wps:cNvPr id="1125" name="Shape 1125"/>
                        <wps:cNvSpPr/>
                        <wps:spPr>
                          <a:xfrm>
                            <a:off x="0" y="0"/>
                            <a:ext cx="6237732" cy="0"/>
                          </a:xfrm>
                          <a:custGeom>
                            <a:avLst/>
                            <a:gdLst/>
                            <a:ahLst/>
                            <a:cxnLst/>
                            <a:rect l="0" t="0" r="0" b="0"/>
                            <a:pathLst>
                              <a:path w="6237732">
                                <a:moveTo>
                                  <a:pt x="0" y="0"/>
                                </a:moveTo>
                                <a:lnTo>
                                  <a:pt x="6237732" y="0"/>
                                </a:lnTo>
                              </a:path>
                            </a:pathLst>
                          </a:custGeom>
                          <a:ln w="18288" cap="flat">
                            <a:miter lim="101600"/>
                          </a:ln>
                        </wps:spPr>
                        <wps:style>
                          <a:lnRef idx="1">
                            <a:srgbClr val="20386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787" style="width:491.16pt;height:1.44pt;mso-position-horizontal-relative:char;mso-position-vertical-relative:line" coordsize="62377,182">
                <v:shape id="Shape 1125" style="position:absolute;width:62377;height:0;left:0;top:0;" coordsize="6237732,0" path="m0,0l6237732,0">
                  <v:stroke weight="1.44pt" endcap="flat" joinstyle="miter" miterlimit="8" on="true" color="#203864"/>
                  <v:fill on="false" color="#000000" opacity="0"/>
                </v:shape>
              </v:group>
            </w:pict>
          </mc:Fallback>
        </mc:AlternateContent>
      </w:r>
    </w:p>
    <w:p w14:paraId="08DB83BB" w14:textId="77777777" w:rsidR="00800A72" w:rsidRDefault="00000000">
      <w:pPr>
        <w:ind w:left="8" w:right="29"/>
      </w:pPr>
      <w:r>
        <w:t xml:space="preserve">Ο Διεθνής Αερολιμένας Αθηνών (ΔΑΑ) ιδρύθηκε στις 12 Ιουνίου 1996, ως πρωτοπόρος σύμπραξη δημόσιου και ιδιωτικού τομέα, αποτελώντας το πρώτο μεγάλο αεροδρόμιο που αναπτύχθηκε από μηδενική βάση με τη συμμετοχή του ιδιωτικού τομέα. Ο ΔΑΑ είναι υπεύθυνος για την κατασκευή, συντήρηση, λειτουργία, διαχείριση και ανάπτυξη του Διεθνούς Αερολιμένα Αθηνών σύμφωνα με τις διατάξεις της Σύμβασης Ανάπτυξης Αεροδρομίου, η οποία είναι η σύμβαση παραχώρησης που κυρώθηκε με τον Ν. 2338/1995 όπως τροποποιήθηκε με τον Ν. 4594/2019 έως τις 11 Ιουνίου 2046, και όπως τροποποιήθηκε περαιτέρω με τον Ν. 5080/2024. Μετά από 5ετή περίοδο κατασκευής και δοκιμών, ο ΔΑΑ ξεκίνησε να λειτουργεί στις 28 Μαρτίου 2001 και αποτελεί τον μεγαλύτερο αεροπορικό κόμβο της Ελλάδας. </w:t>
      </w:r>
    </w:p>
    <w:sectPr w:rsidR="00800A72">
      <w:footerReference w:type="even" r:id="rId18"/>
      <w:footerReference w:type="default" r:id="rId19"/>
      <w:footerReference w:type="first" r:id="rId20"/>
      <w:pgSz w:w="11906" w:h="16838"/>
      <w:pgMar w:top="2165" w:right="997" w:bottom="1587" w:left="103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2A854" w14:textId="77777777" w:rsidR="00975E77" w:rsidRDefault="00975E77">
      <w:pPr>
        <w:spacing w:after="0" w:line="240" w:lineRule="auto"/>
      </w:pPr>
      <w:r>
        <w:separator/>
      </w:r>
    </w:p>
  </w:endnote>
  <w:endnote w:type="continuationSeparator" w:id="0">
    <w:p w14:paraId="115DBDFE" w14:textId="77777777" w:rsidR="00975E77" w:rsidRDefault="00975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2E48D" w14:textId="77777777" w:rsidR="00800A72" w:rsidRDefault="00000000">
    <w:pPr>
      <w:spacing w:after="0" w:line="259" w:lineRule="auto"/>
      <w:ind w:left="0" w:right="43"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B3167F8" wp14:editId="416E706E">
              <wp:simplePos x="0" y="0"/>
              <wp:positionH relativeFrom="page">
                <wp:posOffset>755904</wp:posOffset>
              </wp:positionH>
              <wp:positionV relativeFrom="page">
                <wp:posOffset>9730739</wp:posOffset>
              </wp:positionV>
              <wp:extent cx="6144768" cy="6096"/>
              <wp:effectExtent l="0" t="0" r="0" b="0"/>
              <wp:wrapSquare wrapText="bothSides"/>
              <wp:docPr id="12654" name="Group 12654"/>
              <wp:cNvGraphicFramePr/>
              <a:graphic xmlns:a="http://schemas.openxmlformats.org/drawingml/2006/main">
                <a:graphicData uri="http://schemas.microsoft.com/office/word/2010/wordprocessingGroup">
                  <wpg:wgp>
                    <wpg:cNvGrpSpPr/>
                    <wpg:grpSpPr>
                      <a:xfrm>
                        <a:off x="0" y="0"/>
                        <a:ext cx="6144768" cy="6096"/>
                        <a:chOff x="0" y="0"/>
                        <a:chExt cx="6144768" cy="6096"/>
                      </a:xfrm>
                    </wpg:grpSpPr>
                    <wps:wsp>
                      <wps:cNvPr id="12655" name="Shape 12655"/>
                      <wps:cNvSpPr/>
                      <wps:spPr>
                        <a:xfrm>
                          <a:off x="0" y="0"/>
                          <a:ext cx="6144768" cy="0"/>
                        </a:xfrm>
                        <a:custGeom>
                          <a:avLst/>
                          <a:gdLst/>
                          <a:ahLst/>
                          <a:cxnLst/>
                          <a:rect l="0" t="0" r="0" b="0"/>
                          <a:pathLst>
                            <a:path w="6144768">
                              <a:moveTo>
                                <a:pt x="0" y="0"/>
                              </a:moveTo>
                              <a:lnTo>
                                <a:pt x="6144768" y="0"/>
                              </a:lnTo>
                            </a:path>
                          </a:pathLst>
                        </a:custGeom>
                        <a:ln w="6096" cap="flat">
                          <a:miter lim="101600"/>
                        </a:ln>
                      </wps:spPr>
                      <wps:style>
                        <a:lnRef idx="1">
                          <a:srgbClr val="E7E6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654" style="width:483.84pt;height:0.48pt;position:absolute;mso-position-horizontal-relative:page;mso-position-horizontal:absolute;margin-left:59.52pt;mso-position-vertical-relative:page;margin-top:766.2pt;" coordsize="61447,60">
              <v:shape id="Shape 12655" style="position:absolute;width:61447;height:0;left:0;top:0;" coordsize="6144768,0" path="m0,0l6144768,0">
                <v:stroke weight="0.48pt" endcap="flat" joinstyle="miter" miterlimit="8" on="true" color="#e7e6e6"/>
                <v:fill on="false" color="#000000" opacity="0"/>
              </v:shape>
              <w10:wrap type="square"/>
            </v:group>
          </w:pict>
        </mc:Fallback>
      </mc:AlternateContent>
    </w:r>
    <w:r>
      <w:rPr>
        <w:color w:val="AEAAAA"/>
        <w:sz w:val="21"/>
      </w:rPr>
      <w:t xml:space="preserve">ΒΑΣΙΚΑ ΟΙΚΟΝΟΜΙΚΑ ΜΕΓΕΘΗ ΕΝΝΕΑΜΗΝΟΥ 2026| </w:t>
    </w:r>
    <w:r>
      <w:fldChar w:fldCharType="begin"/>
    </w:r>
    <w:r>
      <w:instrText xml:space="preserve"> PAGE   \* MERGEFORMAT </w:instrText>
    </w:r>
    <w:r>
      <w:fldChar w:fldCharType="separate"/>
    </w:r>
    <w:r>
      <w:rPr>
        <w:color w:val="AEAAAA"/>
        <w:sz w:val="21"/>
      </w:rPr>
      <w:t>2</w:t>
    </w:r>
    <w:r>
      <w:rPr>
        <w:color w:val="AEAAAA"/>
        <w:sz w:val="21"/>
      </w:rPr>
      <w:fldChar w:fldCharType="end"/>
    </w:r>
    <w:r>
      <w:rPr>
        <w:color w:val="AEAAAA"/>
        <w:sz w:val="21"/>
      </w:rPr>
      <w:t xml:space="preserve"> </w:t>
    </w:r>
  </w:p>
  <w:p w14:paraId="4A76EED5" w14:textId="77777777" w:rsidR="00800A72" w:rsidRDefault="00000000">
    <w:pPr>
      <w:spacing w:after="0" w:line="259" w:lineRule="auto"/>
      <w:ind w:left="0" w:right="-4" w:firstLine="0"/>
      <w:jc w:val="right"/>
    </w:pPr>
    <w:r>
      <w:rPr>
        <w:sz w:val="21"/>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B5213" w14:textId="77777777" w:rsidR="00800A72" w:rsidRDefault="00000000">
    <w:pPr>
      <w:spacing w:after="0" w:line="259" w:lineRule="auto"/>
      <w:ind w:left="0" w:right="43" w:firstLine="0"/>
      <w:jc w:val="righ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4DC15E9" wp14:editId="4A415F57">
              <wp:simplePos x="0" y="0"/>
              <wp:positionH relativeFrom="page">
                <wp:posOffset>755904</wp:posOffset>
              </wp:positionH>
              <wp:positionV relativeFrom="page">
                <wp:posOffset>9730739</wp:posOffset>
              </wp:positionV>
              <wp:extent cx="6144768" cy="6096"/>
              <wp:effectExtent l="0" t="0" r="0" b="0"/>
              <wp:wrapSquare wrapText="bothSides"/>
              <wp:docPr id="12640" name="Group 12640"/>
              <wp:cNvGraphicFramePr/>
              <a:graphic xmlns:a="http://schemas.openxmlformats.org/drawingml/2006/main">
                <a:graphicData uri="http://schemas.microsoft.com/office/word/2010/wordprocessingGroup">
                  <wpg:wgp>
                    <wpg:cNvGrpSpPr/>
                    <wpg:grpSpPr>
                      <a:xfrm>
                        <a:off x="0" y="0"/>
                        <a:ext cx="6144768" cy="6096"/>
                        <a:chOff x="0" y="0"/>
                        <a:chExt cx="6144768" cy="6096"/>
                      </a:xfrm>
                    </wpg:grpSpPr>
                    <wps:wsp>
                      <wps:cNvPr id="12641" name="Shape 12641"/>
                      <wps:cNvSpPr/>
                      <wps:spPr>
                        <a:xfrm>
                          <a:off x="0" y="0"/>
                          <a:ext cx="6144768" cy="0"/>
                        </a:xfrm>
                        <a:custGeom>
                          <a:avLst/>
                          <a:gdLst/>
                          <a:ahLst/>
                          <a:cxnLst/>
                          <a:rect l="0" t="0" r="0" b="0"/>
                          <a:pathLst>
                            <a:path w="6144768">
                              <a:moveTo>
                                <a:pt x="0" y="0"/>
                              </a:moveTo>
                              <a:lnTo>
                                <a:pt x="6144768" y="0"/>
                              </a:lnTo>
                            </a:path>
                          </a:pathLst>
                        </a:custGeom>
                        <a:ln w="6096" cap="flat">
                          <a:miter lim="101600"/>
                        </a:ln>
                      </wps:spPr>
                      <wps:style>
                        <a:lnRef idx="1">
                          <a:srgbClr val="E7E6E6"/>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640" style="width:483.84pt;height:0.48pt;position:absolute;mso-position-horizontal-relative:page;mso-position-horizontal:absolute;margin-left:59.52pt;mso-position-vertical-relative:page;margin-top:766.2pt;" coordsize="61447,60">
              <v:shape id="Shape 12641" style="position:absolute;width:61447;height:0;left:0;top:0;" coordsize="6144768,0" path="m0,0l6144768,0">
                <v:stroke weight="0.48pt" endcap="flat" joinstyle="miter" miterlimit="8" on="true" color="#e7e6e6"/>
                <v:fill on="false" color="#000000" opacity="0"/>
              </v:shape>
              <w10:wrap type="square"/>
            </v:group>
          </w:pict>
        </mc:Fallback>
      </mc:AlternateContent>
    </w:r>
    <w:r>
      <w:rPr>
        <w:color w:val="AEAAAA"/>
        <w:sz w:val="21"/>
      </w:rPr>
      <w:t xml:space="preserve">ΒΑΣΙΚΑ ΟΙΚΟΝΟΜΙΚΑ ΜΕΓΕΘΗ ΕΝΝΕΑΜΗΝΟΥ 2026| </w:t>
    </w:r>
    <w:r>
      <w:fldChar w:fldCharType="begin"/>
    </w:r>
    <w:r>
      <w:instrText xml:space="preserve"> PAGE   \* MERGEFORMAT </w:instrText>
    </w:r>
    <w:r>
      <w:fldChar w:fldCharType="separate"/>
    </w:r>
    <w:r>
      <w:rPr>
        <w:color w:val="AEAAAA"/>
        <w:sz w:val="21"/>
      </w:rPr>
      <w:t>2</w:t>
    </w:r>
    <w:r>
      <w:rPr>
        <w:color w:val="AEAAAA"/>
        <w:sz w:val="21"/>
      </w:rPr>
      <w:fldChar w:fldCharType="end"/>
    </w:r>
    <w:r>
      <w:rPr>
        <w:color w:val="AEAAAA"/>
        <w:sz w:val="21"/>
      </w:rPr>
      <w:t xml:space="preserve"> </w:t>
    </w:r>
  </w:p>
  <w:p w14:paraId="7CD89CE2" w14:textId="77777777" w:rsidR="00800A72" w:rsidRDefault="00000000">
    <w:pPr>
      <w:spacing w:after="0" w:line="259" w:lineRule="auto"/>
      <w:ind w:left="0" w:right="-4" w:firstLine="0"/>
      <w:jc w:val="right"/>
    </w:pPr>
    <w:r>
      <w:rPr>
        <w:sz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83739" w14:textId="77777777" w:rsidR="00800A72" w:rsidRDefault="00800A72">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588BB" w14:textId="77777777" w:rsidR="00975E77" w:rsidRDefault="00975E77">
      <w:pPr>
        <w:spacing w:after="5" w:line="259" w:lineRule="auto"/>
        <w:ind w:left="11" w:right="0" w:firstLine="0"/>
      </w:pPr>
      <w:r>
        <w:separator/>
      </w:r>
    </w:p>
  </w:footnote>
  <w:footnote w:type="continuationSeparator" w:id="0">
    <w:p w14:paraId="2D7D8F12" w14:textId="77777777" w:rsidR="00975E77" w:rsidRDefault="00975E77">
      <w:pPr>
        <w:spacing w:after="5" w:line="259" w:lineRule="auto"/>
        <w:ind w:left="11" w:right="0" w:firstLine="0"/>
      </w:pPr>
      <w:r>
        <w:continuationSeparator/>
      </w:r>
    </w:p>
  </w:footnote>
  <w:footnote w:id="1">
    <w:p w14:paraId="48F36253" w14:textId="77777777" w:rsidR="00800A72" w:rsidRDefault="00000000">
      <w:pPr>
        <w:pStyle w:val="footnotedescription"/>
        <w:spacing w:after="5" w:line="259" w:lineRule="auto"/>
        <w:ind w:left="11"/>
      </w:pPr>
      <w:r>
        <w:rPr>
          <w:rStyle w:val="footnotemark"/>
        </w:rPr>
        <w:footnoteRef/>
      </w:r>
      <w:r>
        <w:t xml:space="preserve"> Τα συνολικά έσοδα και λοιπά εισοδήματα, καθώς και τα λειτουργικά έξοδα δεν περιλαμβάνουν το κόστος σχεδιασμού και κατασκευής του </w:t>
      </w:r>
    </w:p>
    <w:p w14:paraId="3C0FDC33" w14:textId="77777777" w:rsidR="00800A72" w:rsidRDefault="00000000">
      <w:pPr>
        <w:pStyle w:val="footnotedescription"/>
        <w:spacing w:line="234" w:lineRule="auto"/>
      </w:pPr>
      <w:r>
        <w:t>Προγράμματος Επέκτασης του Αεροδρομίου (</w:t>
      </w:r>
      <w:proofErr w:type="spellStart"/>
      <w:r>
        <w:t>Airport</w:t>
      </w:r>
      <w:proofErr w:type="spellEnd"/>
      <w:r>
        <w:t xml:space="preserve"> </w:t>
      </w:r>
      <w:proofErr w:type="spellStart"/>
      <w:r>
        <w:t>Expansion</w:t>
      </w:r>
      <w:proofErr w:type="spellEnd"/>
      <w:r>
        <w:t xml:space="preserve"> </w:t>
      </w:r>
      <w:proofErr w:type="spellStart"/>
      <w:r>
        <w:t>Program</w:t>
      </w:r>
      <w:proofErr w:type="spellEnd"/>
      <w:r>
        <w:t xml:space="preserve"> – AEP) συνολικού ποσού €42,2 εκατ. για κάθε λογαριασμό. Σύμφωνα με το IFRIC 12, το κόστος της επέκτασης του αεροδρομίου </w:t>
      </w:r>
      <w:proofErr w:type="spellStart"/>
      <w:r>
        <w:t>λογιστικοποιείται</w:t>
      </w:r>
      <w:proofErr w:type="spellEnd"/>
      <w:r>
        <w:t xml:space="preserve"> βάσει του μοντέλου του άυλου περιουσιακού στοιχείου, το οποίο απαιτεί από την Εταιρεία να αναγνωρίζει τα έσοδα και τα έξοδα από τις παρεχόμενες κατασκευαστικές υπηρεσίες, καθώς ο κύριος της παραχώρησης διατηρεί τον έλεγχο των περιουσιακών στοιχείων των υποδομών. Η αποτίμηση γίνεται στην εύλογη αξία, χωρίς κάποιο περιθώριο κέρδους, με αποτέλεσμα να μην υπάρχει επίπτωση στην κερδοφορία (βλ. σημείωση 2.4.1 των Ετήσιων Οικονομικών Καταστάσεων 2025 για περισσότερες πληροφορίες).</w:t>
      </w:r>
      <w:r>
        <w:rPr>
          <w:sz w:val="19"/>
        </w:rPr>
        <w:t xml:space="preserve"> </w:t>
      </w:r>
    </w:p>
  </w:footnote>
  <w:footnote w:id="2">
    <w:p w14:paraId="477F6665" w14:textId="77777777" w:rsidR="00800A72" w:rsidRDefault="00000000">
      <w:pPr>
        <w:pStyle w:val="footnotedescription"/>
        <w:ind w:right="1" w:firstLine="11"/>
      </w:pPr>
      <w:r>
        <w:rPr>
          <w:rStyle w:val="footnotemark"/>
        </w:rPr>
        <w:footnoteRef/>
      </w:r>
      <w:r>
        <w:t xml:space="preserve"> </w:t>
      </w:r>
      <w:r>
        <w:t xml:space="preserve">Σύμφωνα με την Σύμβαση Ανάπτυξης Αεροδρομίου (ΣΑΑ), τα έσοδα που προέρχονται από τις Αεροπορικές Χρεώσεις και τις υπόλοιπες Αεροπορικές Δραστηριότητες, προορίζονται να καλύπτουν τα έξοδα και τις δαπάνες των Αεροπορικών Δραστηριοτήτων και να παράγουν κέρδη μετά από φόρους, τα οποία δεν υπερβαίνουν καθορισμένη μέγιστη σωρευτική απόδοση επί του Κεφαλαίου Αεροπορικών Δραστηριοτήτων, η οποία ισούται με το 15% του ρυθμιζόμενου κεφαλαίου, το οποίο αναπροσαρμόζεται ετησίως με τον πληθωρισμό της ΕΕ. Η εν λόγω σωρευτική απόδοση υπολογίζεται σε ευρώ για την εκάστοτε χρονική περίοδο. Κέρδη μη </w:t>
      </w:r>
      <w:proofErr w:type="spellStart"/>
      <w:r>
        <w:t>πραγματοποιηθέντα</w:t>
      </w:r>
      <w:proofErr w:type="spellEnd"/>
      <w:r>
        <w:t xml:space="preserve"> σε μια περίοδο, μεταφέρονται αναπροσαρμοσμένα (Μεταφερόμενο Ποσό) με τον πληθωρισμό ΕΕ προς ανάκτηση σε επόμενες περιόδους. Παράλληλα, δεν υπάρχει ρυθμιστικός περιορισμός στην απόδοση των Μη Αεροπορικών Δραστηριοτήτων.</w:t>
      </w:r>
      <w:r>
        <w:rPr>
          <w:sz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826AB"/>
    <w:multiLevelType w:val="hybridMultilevel"/>
    <w:tmpl w:val="6D2C9254"/>
    <w:lvl w:ilvl="0" w:tplc="3DAECB52">
      <w:start w:val="1"/>
      <w:numFmt w:val="decimal"/>
      <w:lvlText w:val="%1"/>
      <w:lvlJc w:val="left"/>
      <w:pPr>
        <w:ind w:left="11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1" w:tplc="978440F6">
      <w:start w:val="1"/>
      <w:numFmt w:val="lowerLetter"/>
      <w:lvlText w:val="%2"/>
      <w:lvlJc w:val="left"/>
      <w:pPr>
        <w:ind w:left="109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2" w:tplc="B0403356">
      <w:start w:val="1"/>
      <w:numFmt w:val="lowerRoman"/>
      <w:lvlText w:val="%3"/>
      <w:lvlJc w:val="left"/>
      <w:pPr>
        <w:ind w:left="181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3" w:tplc="C00C2F46">
      <w:start w:val="1"/>
      <w:numFmt w:val="decimal"/>
      <w:lvlText w:val="%4"/>
      <w:lvlJc w:val="left"/>
      <w:pPr>
        <w:ind w:left="253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4" w:tplc="D5F46930">
      <w:start w:val="1"/>
      <w:numFmt w:val="lowerLetter"/>
      <w:lvlText w:val="%5"/>
      <w:lvlJc w:val="left"/>
      <w:pPr>
        <w:ind w:left="325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5" w:tplc="D1A421C4">
      <w:start w:val="1"/>
      <w:numFmt w:val="lowerRoman"/>
      <w:lvlText w:val="%6"/>
      <w:lvlJc w:val="left"/>
      <w:pPr>
        <w:ind w:left="397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6" w:tplc="A76C6080">
      <w:start w:val="1"/>
      <w:numFmt w:val="decimal"/>
      <w:lvlText w:val="%7"/>
      <w:lvlJc w:val="left"/>
      <w:pPr>
        <w:ind w:left="469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7" w:tplc="79DA17A8">
      <w:start w:val="1"/>
      <w:numFmt w:val="lowerLetter"/>
      <w:lvlText w:val="%8"/>
      <w:lvlJc w:val="left"/>
      <w:pPr>
        <w:ind w:left="541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8" w:tplc="F850AB3A">
      <w:start w:val="1"/>
      <w:numFmt w:val="lowerRoman"/>
      <w:lvlText w:val="%9"/>
      <w:lvlJc w:val="left"/>
      <w:pPr>
        <w:ind w:left="613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abstractNum>
  <w:abstractNum w:abstractNumId="1" w15:restartNumberingAfterBreak="0">
    <w:nsid w:val="271A437C"/>
    <w:multiLevelType w:val="hybridMultilevel"/>
    <w:tmpl w:val="1A8CB626"/>
    <w:lvl w:ilvl="0" w:tplc="4B240AF6">
      <w:start w:val="1"/>
      <w:numFmt w:val="bullet"/>
      <w:lvlText w:val="•"/>
      <w:lvlJc w:val="left"/>
      <w:pPr>
        <w:ind w:left="531"/>
      </w:pPr>
      <w:rPr>
        <w:rFonts w:ascii="Arial" w:eastAsia="Arial" w:hAnsi="Arial" w:cs="Arial"/>
        <w:b w:val="0"/>
        <w:i w:val="0"/>
        <w:strike w:val="0"/>
        <w:dstrike w:val="0"/>
        <w:color w:val="FFFFFF"/>
        <w:sz w:val="19"/>
        <w:szCs w:val="19"/>
        <w:u w:val="none" w:color="000000"/>
        <w:bdr w:val="none" w:sz="0" w:space="0" w:color="auto"/>
        <w:shd w:val="clear" w:color="auto" w:fill="auto"/>
        <w:vertAlign w:val="baseline"/>
      </w:rPr>
    </w:lvl>
    <w:lvl w:ilvl="1" w:tplc="DB70DBF4">
      <w:start w:val="1"/>
      <w:numFmt w:val="bullet"/>
      <w:lvlText w:val="o"/>
      <w:lvlJc w:val="left"/>
      <w:pPr>
        <w:ind w:left="1271"/>
      </w:pPr>
      <w:rPr>
        <w:rFonts w:ascii="Times New Roman" w:eastAsia="Times New Roman" w:hAnsi="Times New Roman" w:cs="Times New Roman"/>
        <w:b w:val="0"/>
        <w:i w:val="0"/>
        <w:strike w:val="0"/>
        <w:dstrike w:val="0"/>
        <w:color w:val="FFFFFF"/>
        <w:sz w:val="19"/>
        <w:szCs w:val="19"/>
        <w:u w:val="none" w:color="000000"/>
        <w:bdr w:val="none" w:sz="0" w:space="0" w:color="auto"/>
        <w:shd w:val="clear" w:color="auto" w:fill="auto"/>
        <w:vertAlign w:val="baseline"/>
      </w:rPr>
    </w:lvl>
    <w:lvl w:ilvl="2" w:tplc="A3C6846C">
      <w:start w:val="1"/>
      <w:numFmt w:val="bullet"/>
      <w:lvlText w:val="▪"/>
      <w:lvlJc w:val="left"/>
      <w:pPr>
        <w:ind w:left="1991"/>
      </w:pPr>
      <w:rPr>
        <w:rFonts w:ascii="Times New Roman" w:eastAsia="Times New Roman" w:hAnsi="Times New Roman" w:cs="Times New Roman"/>
        <w:b w:val="0"/>
        <w:i w:val="0"/>
        <w:strike w:val="0"/>
        <w:dstrike w:val="0"/>
        <w:color w:val="FFFFFF"/>
        <w:sz w:val="19"/>
        <w:szCs w:val="19"/>
        <w:u w:val="none" w:color="000000"/>
        <w:bdr w:val="none" w:sz="0" w:space="0" w:color="auto"/>
        <w:shd w:val="clear" w:color="auto" w:fill="auto"/>
        <w:vertAlign w:val="baseline"/>
      </w:rPr>
    </w:lvl>
    <w:lvl w:ilvl="3" w:tplc="A2AE6AC2">
      <w:start w:val="1"/>
      <w:numFmt w:val="bullet"/>
      <w:lvlText w:val="•"/>
      <w:lvlJc w:val="left"/>
      <w:pPr>
        <w:ind w:left="2711"/>
      </w:pPr>
      <w:rPr>
        <w:rFonts w:ascii="Times New Roman" w:eastAsia="Times New Roman" w:hAnsi="Times New Roman" w:cs="Times New Roman"/>
        <w:b w:val="0"/>
        <w:i w:val="0"/>
        <w:strike w:val="0"/>
        <w:dstrike w:val="0"/>
        <w:color w:val="FFFFFF"/>
        <w:sz w:val="19"/>
        <w:szCs w:val="19"/>
        <w:u w:val="none" w:color="000000"/>
        <w:bdr w:val="none" w:sz="0" w:space="0" w:color="auto"/>
        <w:shd w:val="clear" w:color="auto" w:fill="auto"/>
        <w:vertAlign w:val="baseline"/>
      </w:rPr>
    </w:lvl>
    <w:lvl w:ilvl="4" w:tplc="EFE60A72">
      <w:start w:val="1"/>
      <w:numFmt w:val="bullet"/>
      <w:lvlText w:val="o"/>
      <w:lvlJc w:val="left"/>
      <w:pPr>
        <w:ind w:left="3431"/>
      </w:pPr>
      <w:rPr>
        <w:rFonts w:ascii="Times New Roman" w:eastAsia="Times New Roman" w:hAnsi="Times New Roman" w:cs="Times New Roman"/>
        <w:b w:val="0"/>
        <w:i w:val="0"/>
        <w:strike w:val="0"/>
        <w:dstrike w:val="0"/>
        <w:color w:val="FFFFFF"/>
        <w:sz w:val="19"/>
        <w:szCs w:val="19"/>
        <w:u w:val="none" w:color="000000"/>
        <w:bdr w:val="none" w:sz="0" w:space="0" w:color="auto"/>
        <w:shd w:val="clear" w:color="auto" w:fill="auto"/>
        <w:vertAlign w:val="baseline"/>
      </w:rPr>
    </w:lvl>
    <w:lvl w:ilvl="5" w:tplc="05306E54">
      <w:start w:val="1"/>
      <w:numFmt w:val="bullet"/>
      <w:lvlText w:val="▪"/>
      <w:lvlJc w:val="left"/>
      <w:pPr>
        <w:ind w:left="4151"/>
      </w:pPr>
      <w:rPr>
        <w:rFonts w:ascii="Times New Roman" w:eastAsia="Times New Roman" w:hAnsi="Times New Roman" w:cs="Times New Roman"/>
        <w:b w:val="0"/>
        <w:i w:val="0"/>
        <w:strike w:val="0"/>
        <w:dstrike w:val="0"/>
        <w:color w:val="FFFFFF"/>
        <w:sz w:val="19"/>
        <w:szCs w:val="19"/>
        <w:u w:val="none" w:color="000000"/>
        <w:bdr w:val="none" w:sz="0" w:space="0" w:color="auto"/>
        <w:shd w:val="clear" w:color="auto" w:fill="auto"/>
        <w:vertAlign w:val="baseline"/>
      </w:rPr>
    </w:lvl>
    <w:lvl w:ilvl="6" w:tplc="19D8C06A">
      <w:start w:val="1"/>
      <w:numFmt w:val="bullet"/>
      <w:lvlText w:val="•"/>
      <w:lvlJc w:val="left"/>
      <w:pPr>
        <w:ind w:left="4871"/>
      </w:pPr>
      <w:rPr>
        <w:rFonts w:ascii="Times New Roman" w:eastAsia="Times New Roman" w:hAnsi="Times New Roman" w:cs="Times New Roman"/>
        <w:b w:val="0"/>
        <w:i w:val="0"/>
        <w:strike w:val="0"/>
        <w:dstrike w:val="0"/>
        <w:color w:val="FFFFFF"/>
        <w:sz w:val="19"/>
        <w:szCs w:val="19"/>
        <w:u w:val="none" w:color="000000"/>
        <w:bdr w:val="none" w:sz="0" w:space="0" w:color="auto"/>
        <w:shd w:val="clear" w:color="auto" w:fill="auto"/>
        <w:vertAlign w:val="baseline"/>
      </w:rPr>
    </w:lvl>
    <w:lvl w:ilvl="7" w:tplc="5B1C936A">
      <w:start w:val="1"/>
      <w:numFmt w:val="bullet"/>
      <w:lvlText w:val="o"/>
      <w:lvlJc w:val="left"/>
      <w:pPr>
        <w:ind w:left="5591"/>
      </w:pPr>
      <w:rPr>
        <w:rFonts w:ascii="Times New Roman" w:eastAsia="Times New Roman" w:hAnsi="Times New Roman" w:cs="Times New Roman"/>
        <w:b w:val="0"/>
        <w:i w:val="0"/>
        <w:strike w:val="0"/>
        <w:dstrike w:val="0"/>
        <w:color w:val="FFFFFF"/>
        <w:sz w:val="19"/>
        <w:szCs w:val="19"/>
        <w:u w:val="none" w:color="000000"/>
        <w:bdr w:val="none" w:sz="0" w:space="0" w:color="auto"/>
        <w:shd w:val="clear" w:color="auto" w:fill="auto"/>
        <w:vertAlign w:val="baseline"/>
      </w:rPr>
    </w:lvl>
    <w:lvl w:ilvl="8" w:tplc="D26279C8">
      <w:start w:val="1"/>
      <w:numFmt w:val="bullet"/>
      <w:lvlText w:val="▪"/>
      <w:lvlJc w:val="left"/>
      <w:pPr>
        <w:ind w:left="6311"/>
      </w:pPr>
      <w:rPr>
        <w:rFonts w:ascii="Times New Roman" w:eastAsia="Times New Roman" w:hAnsi="Times New Roman" w:cs="Times New Roman"/>
        <w:b w:val="0"/>
        <w:i w:val="0"/>
        <w:strike w:val="0"/>
        <w:dstrike w:val="0"/>
        <w:color w:val="FFFFFF"/>
        <w:sz w:val="19"/>
        <w:szCs w:val="19"/>
        <w:u w:val="none" w:color="000000"/>
        <w:bdr w:val="none" w:sz="0" w:space="0" w:color="auto"/>
        <w:shd w:val="clear" w:color="auto" w:fill="auto"/>
        <w:vertAlign w:val="baseline"/>
      </w:rPr>
    </w:lvl>
  </w:abstractNum>
  <w:num w:numId="1" w16cid:durableId="1477145753">
    <w:abstractNumId w:val="1"/>
  </w:num>
  <w:num w:numId="2" w16cid:durableId="1597204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A72"/>
    <w:rsid w:val="00800A72"/>
    <w:rsid w:val="008B0753"/>
    <w:rsid w:val="00975E77"/>
    <w:rsid w:val="00A050A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124B1"/>
  <w15:docId w15:val="{5BF6A11C-0FD4-4E69-8C2E-44673A95B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el-G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19" w:line="268" w:lineRule="auto"/>
      <w:ind w:left="23" w:right="41" w:hanging="10"/>
      <w:jc w:val="both"/>
    </w:pPr>
    <w:rPr>
      <w:rFonts w:ascii="Times New Roman" w:eastAsia="Times New Roman" w:hAnsi="Times New Roman" w:cs="Times New Roman"/>
      <w:color w:val="000000"/>
      <w:sz w:val="19"/>
    </w:rPr>
  </w:style>
  <w:style w:type="paragraph" w:styleId="1">
    <w:name w:val="heading 1"/>
    <w:next w:val="a"/>
    <w:link w:val="1Char"/>
    <w:uiPriority w:val="9"/>
    <w:qFormat/>
    <w:pPr>
      <w:keepNext/>
      <w:keepLines/>
      <w:spacing w:after="0" w:line="259" w:lineRule="auto"/>
      <w:ind w:left="23" w:hanging="10"/>
      <w:outlineLvl w:val="0"/>
    </w:pPr>
    <w:rPr>
      <w:rFonts w:ascii="Times New Roman" w:eastAsia="Times New Roman" w:hAnsi="Times New Roman" w:cs="Times New Roman"/>
      <w:color w:val="2F5496"/>
      <w:sz w:val="19"/>
    </w:rPr>
  </w:style>
  <w:style w:type="paragraph" w:styleId="2">
    <w:name w:val="heading 2"/>
    <w:next w:val="a"/>
    <w:link w:val="2Char"/>
    <w:uiPriority w:val="9"/>
    <w:unhideWhenUsed/>
    <w:qFormat/>
    <w:pPr>
      <w:keepNext/>
      <w:keepLines/>
      <w:spacing w:after="0" w:line="259" w:lineRule="auto"/>
      <w:ind w:left="10" w:right="34" w:hanging="10"/>
      <w:outlineLvl w:val="1"/>
    </w:pPr>
    <w:rPr>
      <w:rFonts w:ascii="Times New Roman" w:eastAsia="Times New Roman" w:hAnsi="Times New Roman" w:cs="Times New Roman"/>
      <w:color w:val="000000"/>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link w:val="2"/>
    <w:rPr>
      <w:rFonts w:ascii="Times New Roman" w:eastAsia="Times New Roman" w:hAnsi="Times New Roman" w:cs="Times New Roman"/>
      <w:color w:val="000000"/>
      <w:sz w:val="19"/>
    </w:rPr>
  </w:style>
  <w:style w:type="character" w:customStyle="1" w:styleId="1Char">
    <w:name w:val="Επικεφαλίδα 1 Char"/>
    <w:link w:val="1"/>
    <w:rPr>
      <w:rFonts w:ascii="Times New Roman" w:eastAsia="Times New Roman" w:hAnsi="Times New Roman" w:cs="Times New Roman"/>
      <w:color w:val="2F5496"/>
      <w:sz w:val="19"/>
    </w:rPr>
  </w:style>
  <w:style w:type="paragraph" w:customStyle="1" w:styleId="footnotedescription">
    <w:name w:val="footnote description"/>
    <w:next w:val="a"/>
    <w:link w:val="footnotedescriptionChar"/>
    <w:hidden/>
    <w:pPr>
      <w:spacing w:after="0" w:line="246" w:lineRule="auto"/>
      <w:jc w:val="both"/>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20.jp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g"/><Relationship Id="rId12" Type="http://schemas.openxmlformats.org/officeDocument/2006/relationships/image" Target="media/image10.jp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40.jpg"/><Relationship Id="rId10" Type="http://schemas.openxmlformats.org/officeDocument/2006/relationships/image" Target="media/image4.jp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30.jpg"/><Relationship Id="rId22"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2319</Words>
  <Characters>12524</Characters>
  <Application>Microsoft Office Word</Application>
  <DocSecurity>0</DocSecurity>
  <Lines>104</Lines>
  <Paragraphs>29</Paragraphs>
  <ScaleCrop>false</ScaleCrop>
  <Company/>
  <LinksUpToDate>false</LinksUpToDate>
  <CharactersWithSpaces>14814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Financial Release_GR</dc:title>
  <dc:subject/>
  <dc:creator>Alfieri Vasiliki</dc:creator>
  <cp:keywords/>
  <cp:lastModifiedBy>Emporiko 1</cp:lastModifiedBy>
  <cp:revision>2</cp:revision>
  <dcterms:created xsi:type="dcterms:W3CDTF">2026-10-29T16:28:00Z</dcterms:created>
  <dcterms:modified xsi:type="dcterms:W3CDTF">2026-10-29T16:28:00Z</dcterms:modified>
</cp:coreProperties>
</file>