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6740"/>
          <w:tab w:val="left" w:leader="none" w:pos="6760"/>
          <w:tab w:val="left" w:leader="none" w:pos="6780"/>
          <w:tab w:val="left" w:leader="none" w:pos="6800"/>
          <w:tab w:val="left" w:leader="none" w:pos="6820"/>
          <w:tab w:val="left" w:leader="none" w:pos="6840"/>
          <w:tab w:val="left" w:leader="none" w:pos="6860"/>
          <w:tab w:val="left" w:leader="none" w:pos="6880"/>
          <w:tab w:val="left" w:leader="none" w:pos="6900"/>
          <w:tab w:val="left" w:leader="none" w:pos="6920"/>
          <w:tab w:val="left" w:leader="none" w:pos="6940"/>
          <w:tab w:val="left" w:leader="none" w:pos="6960"/>
          <w:tab w:val="left" w:leader="none" w:pos="6980"/>
          <w:tab w:val="left" w:leader="none" w:pos="7000"/>
          <w:tab w:val="left" w:leader="none" w:pos="7020"/>
          <w:tab w:val="left" w:leader="none" w:pos="7040"/>
          <w:tab w:val="left" w:leader="none" w:pos="7060"/>
          <w:tab w:val="left" w:leader="none" w:pos="7080"/>
          <w:tab w:val="left" w:leader="none" w:pos="7100"/>
          <w:tab w:val="left" w:leader="none" w:pos="7120"/>
          <w:tab w:val="left" w:leader="none" w:pos="7140"/>
          <w:tab w:val="left" w:leader="none" w:pos="7160"/>
          <w:tab w:val="left" w:leader="none" w:pos="7180"/>
          <w:tab w:val="left" w:leader="none" w:pos="7200"/>
          <w:tab w:val="left" w:leader="none" w:pos="7220"/>
          <w:tab w:val="left" w:leader="none" w:pos="7240"/>
          <w:tab w:val="left" w:leader="none" w:pos="7260"/>
          <w:tab w:val="left" w:leader="none" w:pos="7280"/>
          <w:tab w:val="left" w:leader="none" w:pos="7300"/>
          <w:tab w:val="left" w:leader="none" w:pos="7320"/>
          <w:tab w:val="left" w:leader="none" w:pos="7340"/>
          <w:tab w:val="left" w:leader="none" w:pos="7360"/>
          <w:tab w:val="left" w:leader="none" w:pos="7380"/>
          <w:tab w:val="left" w:leader="none" w:pos="7400"/>
          <w:tab w:val="left" w:leader="none" w:pos="7420"/>
          <w:tab w:val="left" w:leader="none" w:pos="7440"/>
          <w:tab w:val="left" w:leader="none" w:pos="7460"/>
          <w:tab w:val="left" w:leader="none" w:pos="7480"/>
          <w:tab w:val="left" w:leader="none" w:pos="7500"/>
          <w:tab w:val="left" w:leader="none" w:pos="7520"/>
          <w:tab w:val="left" w:leader="none" w:pos="7540"/>
          <w:tab w:val="left" w:leader="none" w:pos="7560"/>
          <w:tab w:val="left" w:leader="none" w:pos="7580"/>
          <w:tab w:val="left" w:leader="none" w:pos="7600"/>
          <w:tab w:val="left" w:leader="none" w:pos="7620"/>
          <w:tab w:val="left" w:leader="none" w:pos="7640"/>
          <w:tab w:val="left" w:leader="none" w:pos="7660"/>
          <w:tab w:val="left" w:leader="none" w:pos="7680"/>
          <w:tab w:val="left" w:leader="none" w:pos="7700"/>
          <w:tab w:val="left" w:leader="none" w:pos="7720"/>
          <w:tab w:val="left" w:leader="none" w:pos="7740"/>
          <w:tab w:val="left" w:leader="none" w:pos="7760"/>
        </w:tabs>
        <w:spacing w:after="0" w:before="340" w:line="360" w:lineRule="auto"/>
        <w:ind w:left="0" w:right="0" w:firstLine="0"/>
        <w:jc w:val="both"/>
        <w:rPr>
          <w:rFonts w:ascii="Arial" w:cs="Arial" w:eastAsia="Arial" w:hAnsi="Arial"/>
          <w:b w:val="0"/>
          <w:bCs w:val="0"/>
          <w:i w:val="0"/>
          <w:iCs w:val="0"/>
          <w:smallCaps w:val="0"/>
          <w:strike w:val="0"/>
          <w:color w:val="1b1c1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1b1c1d"/>
          <w:sz w:val="24"/>
          <w:szCs w:val="24"/>
          <w:u w:val="none"/>
          <w:shd w:fill="auto" w:val="clear"/>
          <w:vertAlign w:val="baseline"/>
          <w:rtl w:val="0"/>
        </w:rPr>
        <w:t xml:space="preserve">ΕΛΛΗΝΙΚΗ ΔΗΜΟΚΡΑΤΙΑ                                        </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6740"/>
          <w:tab w:val="left" w:leader="none" w:pos="6760"/>
          <w:tab w:val="left" w:leader="none" w:pos="6780"/>
          <w:tab w:val="left" w:leader="none" w:pos="6800"/>
          <w:tab w:val="left" w:leader="none" w:pos="6820"/>
          <w:tab w:val="left" w:leader="none" w:pos="6840"/>
          <w:tab w:val="left" w:leader="none" w:pos="6860"/>
          <w:tab w:val="left" w:leader="none" w:pos="6880"/>
          <w:tab w:val="left" w:leader="none" w:pos="6900"/>
          <w:tab w:val="left" w:leader="none" w:pos="6920"/>
          <w:tab w:val="left" w:leader="none" w:pos="6940"/>
          <w:tab w:val="left" w:leader="none" w:pos="6960"/>
          <w:tab w:val="left" w:leader="none" w:pos="6980"/>
          <w:tab w:val="left" w:leader="none" w:pos="7000"/>
          <w:tab w:val="left" w:leader="none" w:pos="7020"/>
          <w:tab w:val="left" w:leader="none" w:pos="7040"/>
          <w:tab w:val="left" w:leader="none" w:pos="7060"/>
          <w:tab w:val="left" w:leader="none" w:pos="7080"/>
          <w:tab w:val="left" w:leader="none" w:pos="7100"/>
          <w:tab w:val="left" w:leader="none" w:pos="7120"/>
          <w:tab w:val="left" w:leader="none" w:pos="7140"/>
          <w:tab w:val="left" w:leader="none" w:pos="7160"/>
          <w:tab w:val="left" w:leader="none" w:pos="7180"/>
          <w:tab w:val="left" w:leader="none" w:pos="7200"/>
          <w:tab w:val="left" w:leader="none" w:pos="7220"/>
          <w:tab w:val="left" w:leader="none" w:pos="7240"/>
          <w:tab w:val="left" w:leader="none" w:pos="7260"/>
          <w:tab w:val="left" w:leader="none" w:pos="7280"/>
          <w:tab w:val="left" w:leader="none" w:pos="7300"/>
          <w:tab w:val="left" w:leader="none" w:pos="7320"/>
          <w:tab w:val="left" w:leader="none" w:pos="7340"/>
          <w:tab w:val="left" w:leader="none" w:pos="7360"/>
          <w:tab w:val="left" w:leader="none" w:pos="7380"/>
          <w:tab w:val="left" w:leader="none" w:pos="7400"/>
          <w:tab w:val="left" w:leader="none" w:pos="7420"/>
          <w:tab w:val="left" w:leader="none" w:pos="7440"/>
          <w:tab w:val="left" w:leader="none" w:pos="7460"/>
          <w:tab w:val="left" w:leader="none" w:pos="7480"/>
          <w:tab w:val="left" w:leader="none" w:pos="7500"/>
          <w:tab w:val="left" w:leader="none" w:pos="7520"/>
          <w:tab w:val="left" w:leader="none" w:pos="7540"/>
          <w:tab w:val="left" w:leader="none" w:pos="7560"/>
          <w:tab w:val="left" w:leader="none" w:pos="7580"/>
          <w:tab w:val="left" w:leader="none" w:pos="7600"/>
          <w:tab w:val="left" w:leader="none" w:pos="7620"/>
          <w:tab w:val="left" w:leader="none" w:pos="7640"/>
          <w:tab w:val="left" w:leader="none" w:pos="7660"/>
          <w:tab w:val="left" w:leader="none" w:pos="7680"/>
          <w:tab w:val="left" w:leader="none" w:pos="7700"/>
          <w:tab w:val="left" w:leader="none" w:pos="7720"/>
          <w:tab w:val="left" w:leader="none" w:pos="7740"/>
          <w:tab w:val="left" w:leader="none" w:pos="7760"/>
        </w:tabs>
        <w:spacing w:after="0" w:before="0" w:line="360" w:lineRule="auto"/>
        <w:ind w:left="0" w:right="0" w:firstLine="0"/>
        <w:jc w:val="both"/>
        <w:rPr>
          <w:rFonts w:ascii="Arial" w:cs="Arial" w:eastAsia="Arial" w:hAnsi="Arial"/>
          <w:b w:val="0"/>
          <w:bCs w:val="0"/>
          <w:i w:val="0"/>
          <w:iCs w:val="0"/>
          <w:smallCaps w:val="0"/>
          <w:strike w:val="0"/>
          <w:color w:val="1b1c1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1b1c1d"/>
          <w:sz w:val="24"/>
          <w:szCs w:val="24"/>
          <w:u w:val="none"/>
          <w:shd w:fill="auto" w:val="clear"/>
          <w:vertAlign w:val="baseline"/>
          <w:rtl w:val="0"/>
        </w:rPr>
        <w:t xml:space="preserve">ΕΙΣΑΓΓΕΛΙΑ ΠΡΩΤΟΔΙΚΩΝ ΛΑΡΙΣΑΣ</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bCs w:val="0"/>
          <w:i w:val="0"/>
          <w:iCs w:val="0"/>
          <w:smallCaps w:val="0"/>
          <w:strike w:val="0"/>
          <w:color w:val="1b1c1d"/>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ΠΡΟΣ:</w:t>
        <w:br w:type="textWrapping"/>
        <w:t xml:space="preserve">Τους ορισθέντες πραγματογνώμονες – ιατροδικαστές, σύμφωνα με τα υπ’ αριθ. 206-210/2026 βουλεύματα του Συμβουλίου Πλημμελειοδικών Λάρισας</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Δια του </w:t>
        <w:br w:type="textWrapping"/>
        <w:t xml:space="preserve">Αστυνομικό Τμήμα Λάρισας</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bCs w:val="0"/>
          <w:i w:val="0"/>
          <w:iCs w:val="0"/>
          <w:smallCaps w:val="0"/>
          <w:strike w:val="0"/>
          <w:color w:val="000000"/>
          <w:sz w:val="24"/>
          <w:szCs w:val="24"/>
          <w:u w:val="singl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single"/>
          <w:shd w:fill="auto" w:val="clear"/>
          <w:vertAlign w:val="baseline"/>
          <w:rtl w:val="0"/>
        </w:rPr>
        <w:t xml:space="preserve">ΘΕΜΑ: Εκτέλεση των υπ’ αριθ. 206-210/2026 βουλευμάτων του Συμβουλίου Πλημμελειοδικών Λάρισας – Διενέργεια εργαστηριακών εξετάσεων και προσδιορισμός ημερομηνίας εκταφής.</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bCs w:val="0"/>
          <w:i w:val="0"/>
          <w:iCs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ΣΧΕΤ.:</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 xml:space="preserve">1.</w:t>
        <w:tab/>
        <w:t xml:space="preserve">Τα υπ’ αριθ. 206-210/2026 βουλεύματα του Συμβουλίου Πλημμελειοδικών Λάρισας.</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 xml:space="preserve">2.</w:t>
        <w:tab/>
        <w:t xml:space="preserve">Το υπ’ αριθ. 874/28-09-2026 έγγραφο του Εργαστηρίου Ιατροδικαστικής και Τοξικολογίας του Αριστοτελείου Πανεπιστημίου Θεσσαλονίκης.</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 xml:space="preserve">3.</w:t>
        <w:tab/>
        <w:t xml:space="preserve">Το υπ’ αριθ. 921/09-10-2026 έγγραφο του ιδίου Εργαστηρίου.</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Σε συνέχεια της ανωτέρω σχετικής αλληλογραφίας και προς τον σκοπό της ταχείας και ουσιαστικής εκτέλεσης των υπ’ αριθ. 206-210/2026 βουλευμάτων του Συμβουλίου Πλημμελειοδικών Λάρισας, επισημαίνουμε τα ακόλουθα:</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Από τα ανωτέρω έγγραφα προκύπτει ότι, κατόπιν των ενεργειών που πραγματοποιήθηκαν στο πλαίσιο της ανατεθείσας πραγματογνωμοσύνης, εντοπίστηκε το Netherlands Forensic Institute (NFI) της Ολλανδίας, το οποίο γνωστοποίησε τη δυνατότητα διενέργειας των απαιτούμενων εξειδικευμένων εργαστηριακών εξετάσεων, υπό τις προϋποθέσεις που αναφέρονται στη σχετική επικοινωνία. Κατόπιν τούτου, παραγγέλλουμε όπως, υπό την ιδιότητά σας ως ορισθέντων πραγματογνωμόνων, προβείτε αμελλητί σε όλες τις αναγκαίες ενέργειες για την οριστικοποίηση της συνεργασίας με το ανωτέρω εργαστήριο, επιβεβαιώνοντας τη δυνατότητα ανάληψης των εξετάσεων, τις ειδικότερες επιστημονικές και τεχνικές προϋποθέσεις διενέργειάς τους, καθώς και τις απαιτήσεις ως προς το είδος, την ποσότητα, τη συλλογή, τη φύλαξη και τη μεταφορά των αναγκαίων δειγμάτων.</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Δεδομένου ότι έχει ήδη εντοπιστεί συγκεκριμένο εξειδικευμένο εργαστήριο, το οποίο έχει δηλώσει καταρχήν τη δυνατότητα διενέργειας των ζητούμενων εξετάσεων, δεν παρίσταται, επί του παρόντος, αναγκαία η συνέχιση της αναζήτησης άλλων εργαστηρίων, εκτός εάν ανακύψει συγκεκριμένο επιστημονικό, τεχνικό ή άλλο αντικειμενικό κώλυμα, το οποίο θα πρέπει να μας γνωστοποιηθεί ειδικώς.</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Περαιτέρω, παραγγέλλουμε όπως μεριμνήσετε για τον </w:t>
      </w:r>
      <w:r w:rsidDel="00000000" w:rsidR="00000000" w:rsidRPr="00000000">
        <w:rPr>
          <w:rFonts w:ascii="Arial" w:cs="Arial" w:eastAsia="Arial" w:hAnsi="Arial"/>
          <w:b w:val="0"/>
          <w:bCs w:val="0"/>
          <w:i w:val="0"/>
          <w:iCs w:val="0"/>
          <w:smallCaps w:val="0"/>
          <w:strike w:val="0"/>
          <w:color w:val="000000"/>
          <w:sz w:val="24"/>
          <w:szCs w:val="24"/>
          <w:u w:val="single"/>
          <w:shd w:fill="auto" w:val="clear"/>
          <w:vertAlign w:val="baseline"/>
          <w:rtl w:val="0"/>
        </w:rPr>
        <w:t xml:space="preserve">άμεσο</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προσδιορισμό συγκεκριμένης ημερομηνίας εκταφής, σε συνεννόηση με τις αρμόδιες υπηρεσίες, αφού προηγουμένως τηρηθούν οι προβλεπόμενες από τις οικείες διατάξεις του Κώδικα Ποινικής Δικονομίας διαδικασίες γνωστοποίησης και διασφαλιστεί η δυνατότητα άσκησης των δικονομικών δικαιωμάτων των κατά νόμο δικαιούμενων προσώπων.</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Κατά τον προγραμματισμό και τη διενέργεια της εκταφής, να ληφθεί μέριμνα για την παρουσία των αναγκαίων προσώπων, την προσήκουσα λήψη των απαιτούμενων δειγμάτων, την ακριβή καταγραφή των σχετικών ενεργειών και τη διασφάλιση της ακεραιότητας και της ταυτοποίησης των δειγμάτων, σύμφωνα με τους ενδεδειγμένους επιστημονικούς κανόνες και τις απαιτήσεις του εργαστηρίου που θα διενεργήσει τις εξετάσεις.</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Ως προς το οικονομικό σκέλος, λαμβανομένου υπόψη ότι το ανωτέρω εργαστήριο έχει γνωστοποιήσει ωριαία χρέωση, παραγγέλλουμε όπως ζητήσετε από αυτό έγγραφη εκτίμηση του συνολικού κόστους των απαιτούμενων εξετάσεων, με προσδιορισμό των εκτιμώμενων ωρών απασχόλησης και τυχόν πρόσθετων επιβαρύνσεων, και μας γνωστοποιήσετε αμελλητί τα σχετικά στοιχεία, προκειμένου να κινηθεί αρμοδίως η προβλεπόμενη διαδικασία έγκρισης και κάλυψης της σχετικής δαπάνης.</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Η διερεύνηση και διευθέτηση του οικονομικού ζητήματος να πραγματοποιηθεί παράλληλα με τις λοιπές προπαρασκευαστικές ενέργειες, ώστε να μην προκληθεί περαιτέρω καθυστέρηση στην εκτέλεση των βουλευμάτων, χωρίς, πάντως, να αναληφθεί οικονομική δέσμευση πριν από την ολοκλήρωση των κατά νόμο απαιτούμενων εγκρίσεων.</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Το Αστυνομικό Τμήμα Λάρισας, προς το οποίο κοινοποιείται η παρούσα, παρακαλείται να παράσχει, στο πλαίσιο των αρμοδιοτήτων του, την αναγκαία υπηρεσιακή συνδρομή για τον συντονισμό και τη διεκπεραίωση των απαραίτητων ενεργειών με τα κατά τόπους αρμόδια ΑΤ , τα οποία θα επιληφθούν της εκτέλεσης των παραγγελθεισών εκταφών, και των συναφών διαδικαστικών ενεργειών, σε συνεργασία με τους ορισθέντες πραγματογνώμονες και τις λοιπές αρμόδιες υπηρεσίες, σύμφωνα με τις σχετικές εισαγγελικές παραγγελίες.</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Παραγγέλλουμε, τέλος, όπως εντός πέντε (5) εργάσιμων ημερών από τη λήψη της παρούσας μας ενημερώσετε εγγράφως για τις συγκεκριμένες ενέργειες στις οποίες έχετε προβεί, την πορεία των συνεννοήσεων με το ανωτέρω εργαστήριο, τα στοιχεία της εκτιμώμενης δαπάνης, καθώς και την ημερομηνία εκταφής που έχει προσδιοριστεί.</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Σε περίπτωση που ο προσδιορισμός συγκεκριμένης ημερομηνίας δεν έχει ακόμη καταστεί εφικτός, να γνωστοποιηθούν οι ειδικότεροι λόγοι που το εμποδίζουν, καθώς και οι ενέργειες που απαιτούνται για την άρση των σχετικών κωλυμάτων.</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Η παρούσα να εκτελεστεί κατά προτεραιότητα, με γνώμονα την ανάγκη ταχείας ολοκλήρωσης των αναγκαίων διαδικασιών και πλήρους εκτέλεσης των ανωτέρω βουλευμάτων.</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Λάρισα 13-10-2026</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Η Εισαγγελέας</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Helvetica Neue" w:cs="Helvetica Neue" w:eastAsia="Helvetica Neue" w:hAnsi="Helvetica Neue"/>
          <w:b w:val="0"/>
          <w:bCs w:val="0"/>
          <w:i w:val="0"/>
          <w:iCs w:val="0"/>
          <w:smallCaps w:val="0"/>
          <w:strike w:val="0"/>
          <w:color w:val="000000"/>
          <w:sz w:val="22"/>
          <w:szCs w:val="22"/>
          <w:u w:val="none"/>
          <w:shd w:fill="auto" w:val="clear"/>
          <w:vertAlign w:val="baseline"/>
        </w:rPr>
      </w:pPr>
      <w:r w:rsidDel="00000000" w:rsidR="00000000" w:rsidRPr="00000000">
        <w:rPr>
          <w:rtl w:val="0"/>
        </w:rPr>
      </w:r>
    </w:p>
    <w:sectPr>
      <w:headerReference r:id="rId6" w:type="default"/>
      <w:footerReference r:id="rId7" w:type="default"/>
      <w:pgSz w:h="16840" w:w="11900" w:orient="portrait"/>
      <w:pgMar w:bottom="1134" w:top="1134" w:left="1134" w:right="1134" w:header="709" w:footer="85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20"/>
      </w:tabs>
      <w:spacing w:after="0" w:before="0" w:line="240" w:lineRule="auto"/>
      <w:ind w:left="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20"/>
      </w:tabs>
      <w:spacing w:after="0" w:before="0" w:line="240" w:lineRule="auto"/>
      <w:ind w:left="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