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1CA2" w14:textId="77777777" w:rsidR="00790980" w:rsidRDefault="00790980" w:rsidP="00790980">
      <w:pPr>
        <w:spacing w:before="100" w:beforeAutospacing="1" w:after="100" w:afterAutospacing="1"/>
        <w:rPr>
          <w:lang w:val="el-GR"/>
        </w:rPr>
      </w:pPr>
    </w:p>
    <w:p w14:paraId="446E6B60" w14:textId="77777777" w:rsidR="00790980" w:rsidRPr="00790980" w:rsidRDefault="00790980" w:rsidP="00790980">
      <w:pPr>
        <w:jc w:val="center"/>
        <w:rPr>
          <w:rFonts w:ascii="Times New Roman" w:eastAsia="Times New Roman" w:hAnsi="Times New Roman"/>
          <w:b/>
          <w:bCs/>
          <w:sz w:val="36"/>
          <w:szCs w:val="36"/>
          <w:lang w:val="el-GR" w:eastAsia="el-GR"/>
        </w:rPr>
      </w:pPr>
      <w:r w:rsidRPr="00790980">
        <w:rPr>
          <w:rFonts w:ascii="Times New Roman" w:eastAsia="Times New Roman" w:hAnsi="Times New Roman"/>
          <w:b/>
          <w:bCs/>
          <w:sz w:val="36"/>
          <w:szCs w:val="36"/>
          <w:lang w:val="el-GR" w:eastAsia="el-GR"/>
        </w:rPr>
        <w:t xml:space="preserve">Η </w:t>
      </w:r>
      <w:proofErr w:type="spellStart"/>
      <w:r w:rsidRPr="00790980">
        <w:rPr>
          <w:rFonts w:ascii="Times New Roman" w:eastAsia="Times New Roman" w:hAnsi="Times New Roman"/>
          <w:b/>
          <w:bCs/>
          <w:sz w:val="36"/>
          <w:szCs w:val="36"/>
          <w:lang w:val="el-GR" w:eastAsia="el-GR"/>
        </w:rPr>
        <w:t>Holcim</w:t>
      </w:r>
      <w:proofErr w:type="spellEnd"/>
      <w:r w:rsidRPr="00790980">
        <w:rPr>
          <w:rFonts w:ascii="Times New Roman" w:eastAsia="Times New Roman" w:hAnsi="Times New Roman"/>
          <w:b/>
          <w:bCs/>
          <w:sz w:val="36"/>
          <w:szCs w:val="36"/>
          <w:lang w:val="el-GR" w:eastAsia="el-GR"/>
        </w:rPr>
        <w:t xml:space="preserve">, </w:t>
      </w:r>
      <w:proofErr w:type="spellStart"/>
      <w:r w:rsidRPr="00790980">
        <w:rPr>
          <w:rFonts w:ascii="Times New Roman" w:eastAsia="Times New Roman" w:hAnsi="Times New Roman"/>
          <w:b/>
          <w:bCs/>
          <w:sz w:val="36"/>
          <w:szCs w:val="36"/>
          <w:lang w:val="el-GR" w:eastAsia="el-GR"/>
        </w:rPr>
        <w:t>Mητρική</w:t>
      </w:r>
      <w:proofErr w:type="spellEnd"/>
      <w:r w:rsidRPr="00790980">
        <w:rPr>
          <w:rFonts w:ascii="Times New Roman" w:eastAsia="Times New Roman" w:hAnsi="Times New Roman"/>
          <w:b/>
          <w:bCs/>
          <w:sz w:val="36"/>
          <w:szCs w:val="36"/>
          <w:lang w:val="el-GR" w:eastAsia="el-GR"/>
        </w:rPr>
        <w:t xml:space="preserve"> του Ομίλου ΗΡΑΚΛΗΣ,</w:t>
      </w:r>
    </w:p>
    <w:p w14:paraId="6919FC74" w14:textId="3C0AC2BF" w:rsidR="00790980" w:rsidRDefault="00790980" w:rsidP="00790980">
      <w:pPr>
        <w:jc w:val="center"/>
        <w:rPr>
          <w:rFonts w:ascii="Times New Roman" w:eastAsia="Times New Roman" w:hAnsi="Times New Roman"/>
          <w:b/>
          <w:bCs/>
          <w:sz w:val="36"/>
          <w:szCs w:val="36"/>
          <w:lang w:val="el-GR" w:eastAsia="el-GR"/>
        </w:rPr>
      </w:pPr>
      <w:r w:rsidRPr="00790980">
        <w:rPr>
          <w:rFonts w:ascii="Times New Roman" w:eastAsia="Times New Roman" w:hAnsi="Times New Roman"/>
          <w:b/>
          <w:bCs/>
          <w:sz w:val="36"/>
          <w:szCs w:val="36"/>
          <w:lang w:val="el-GR" w:eastAsia="el-GR"/>
        </w:rPr>
        <w:t>ξεκινά το 2026 με ισχυρή αναπτυξιακή δυναμική</w:t>
      </w:r>
    </w:p>
    <w:p w14:paraId="03DDFE05" w14:textId="77777777" w:rsidR="00790980" w:rsidRPr="00790980" w:rsidRDefault="00790980" w:rsidP="00790980">
      <w:pPr>
        <w:jc w:val="center"/>
        <w:rPr>
          <w:rFonts w:ascii="Times New Roman" w:eastAsia="Times New Roman" w:hAnsi="Times New Roman"/>
          <w:b/>
          <w:bCs/>
          <w:sz w:val="36"/>
          <w:szCs w:val="36"/>
          <w:lang w:val="el-GR" w:eastAsia="el-GR"/>
        </w:rPr>
      </w:pPr>
    </w:p>
    <w:p w14:paraId="5307B9B2" w14:textId="60243BE0" w:rsidR="00790980" w:rsidRPr="00790980" w:rsidRDefault="00790980" w:rsidP="00790980">
      <w:pPr>
        <w:numPr>
          <w:ilvl w:val="0"/>
          <w:numId w:val="7"/>
        </w:numPr>
        <w:spacing w:before="100" w:beforeAutospacing="1" w:after="100" w:afterAutospacing="1"/>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 xml:space="preserve">Οι καθαρές πωλήσεις αυξήθηκαν οργανικά κατά 3,9% και ανήλθαν σε 3.520 εκατ. </w:t>
      </w:r>
      <w:r w:rsidRPr="007B1A77">
        <w:rPr>
          <w:rFonts w:ascii="Times New Roman" w:eastAsia="Times New Roman" w:hAnsi="Times New Roman"/>
          <w:b/>
          <w:bCs/>
          <w:szCs w:val="24"/>
          <w:lang w:eastAsia="el-GR"/>
        </w:rPr>
        <w:t>CHF</w:t>
      </w:r>
      <w:r w:rsidRPr="00790980">
        <w:rPr>
          <w:rFonts w:ascii="Times New Roman" w:eastAsia="Times New Roman" w:hAnsi="Times New Roman"/>
          <w:b/>
          <w:bCs/>
          <w:szCs w:val="24"/>
          <w:lang w:val="el-GR" w:eastAsia="el-GR"/>
        </w:rPr>
        <w:t xml:space="preserve"> </w:t>
      </w:r>
    </w:p>
    <w:p w14:paraId="6A6BB2A9" w14:textId="001AE62F" w:rsidR="00790980" w:rsidRPr="00790980" w:rsidRDefault="00790980" w:rsidP="00790980">
      <w:pPr>
        <w:numPr>
          <w:ilvl w:val="0"/>
          <w:numId w:val="7"/>
        </w:numPr>
        <w:spacing w:before="100" w:beforeAutospacing="1" w:after="100" w:afterAutospacing="1"/>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 xml:space="preserve">Τα επαναλαμβανόμενα λειτουργικά </w:t>
      </w:r>
      <w:r w:rsidRPr="00CE4530">
        <w:rPr>
          <w:rFonts w:ascii="Times New Roman" w:eastAsia="Times New Roman" w:hAnsi="Times New Roman"/>
          <w:b/>
          <w:bCs/>
          <w:szCs w:val="24"/>
          <w:lang w:val="el-GR" w:eastAsia="el-GR"/>
        </w:rPr>
        <w:t>κέρδη (</w:t>
      </w:r>
      <w:r w:rsidR="00724B4D" w:rsidRPr="00CE4530">
        <w:rPr>
          <w:rFonts w:ascii="Times New Roman" w:eastAsia="Times New Roman" w:hAnsi="Times New Roman"/>
          <w:b/>
          <w:bCs/>
          <w:szCs w:val="24"/>
          <w:lang w:eastAsia="el-GR"/>
        </w:rPr>
        <w:t>recurring</w:t>
      </w:r>
      <w:r w:rsidR="00724B4D" w:rsidRPr="00CE4530">
        <w:rPr>
          <w:rFonts w:ascii="Times New Roman" w:eastAsia="Times New Roman" w:hAnsi="Times New Roman"/>
          <w:b/>
          <w:bCs/>
          <w:szCs w:val="24"/>
          <w:lang w:val="el-GR" w:eastAsia="el-GR"/>
        </w:rPr>
        <w:t xml:space="preserve"> </w:t>
      </w:r>
      <w:r w:rsidRPr="00CE4530">
        <w:rPr>
          <w:rFonts w:ascii="Times New Roman" w:eastAsia="Times New Roman" w:hAnsi="Times New Roman"/>
          <w:b/>
          <w:bCs/>
          <w:szCs w:val="24"/>
          <w:lang w:eastAsia="el-GR"/>
        </w:rPr>
        <w:t>EBIT</w:t>
      </w:r>
      <w:r w:rsidRPr="00790980">
        <w:rPr>
          <w:rFonts w:ascii="Times New Roman" w:eastAsia="Times New Roman" w:hAnsi="Times New Roman"/>
          <w:b/>
          <w:bCs/>
          <w:szCs w:val="24"/>
          <w:lang w:val="el-GR" w:eastAsia="el-GR"/>
        </w:rPr>
        <w:t xml:space="preserve">) αυξήθηκαν οργανικά κατά 8,3% και διαμορφώθηκαν σε 431 εκατ. </w:t>
      </w:r>
      <w:r w:rsidRPr="007B1A77">
        <w:rPr>
          <w:rFonts w:ascii="Times New Roman" w:eastAsia="Times New Roman" w:hAnsi="Times New Roman"/>
          <w:b/>
          <w:bCs/>
          <w:szCs w:val="24"/>
          <w:lang w:eastAsia="el-GR"/>
        </w:rPr>
        <w:t>CHF</w:t>
      </w:r>
      <w:r w:rsidRPr="00790980">
        <w:rPr>
          <w:rFonts w:ascii="Times New Roman" w:eastAsia="Times New Roman" w:hAnsi="Times New Roman"/>
          <w:b/>
          <w:bCs/>
          <w:szCs w:val="24"/>
          <w:lang w:val="el-GR" w:eastAsia="el-GR"/>
        </w:rPr>
        <w:t xml:space="preserve"> </w:t>
      </w:r>
    </w:p>
    <w:p w14:paraId="40B1E4CC" w14:textId="77777777" w:rsidR="00790980" w:rsidRPr="00790980" w:rsidRDefault="00790980" w:rsidP="00790980">
      <w:pPr>
        <w:numPr>
          <w:ilvl w:val="0"/>
          <w:numId w:val="7"/>
        </w:numPr>
        <w:spacing w:before="100" w:beforeAutospacing="1" w:after="100" w:afterAutospacing="1"/>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Συνεχίζεται η δυναμική στις συγχωνεύσεις και εξαγορές (</w:t>
      </w:r>
      <w:r w:rsidRPr="007B1A77">
        <w:rPr>
          <w:rFonts w:ascii="Times New Roman" w:eastAsia="Times New Roman" w:hAnsi="Times New Roman"/>
          <w:b/>
          <w:bCs/>
          <w:szCs w:val="24"/>
          <w:lang w:eastAsia="el-GR"/>
        </w:rPr>
        <w:t>M</w:t>
      </w:r>
      <w:r w:rsidRPr="00790980">
        <w:rPr>
          <w:rFonts w:ascii="Times New Roman" w:eastAsia="Times New Roman" w:hAnsi="Times New Roman"/>
          <w:b/>
          <w:bCs/>
          <w:szCs w:val="24"/>
          <w:lang w:val="el-GR" w:eastAsia="el-GR"/>
        </w:rPr>
        <w:t>&amp;</w:t>
      </w:r>
      <w:r w:rsidRPr="007B1A77">
        <w:rPr>
          <w:rFonts w:ascii="Times New Roman" w:eastAsia="Times New Roman" w:hAnsi="Times New Roman"/>
          <w:b/>
          <w:bCs/>
          <w:szCs w:val="24"/>
          <w:lang w:eastAsia="el-GR"/>
        </w:rPr>
        <w:t>A</w:t>
      </w:r>
      <w:r w:rsidRPr="00790980">
        <w:rPr>
          <w:rFonts w:ascii="Times New Roman" w:eastAsia="Times New Roman" w:hAnsi="Times New Roman"/>
          <w:b/>
          <w:bCs/>
          <w:szCs w:val="24"/>
          <w:lang w:val="el-GR" w:eastAsia="el-GR"/>
        </w:rPr>
        <w:t xml:space="preserve">) με πέντε στρατηγικές κινήσεις να ολοκληρώνονται στο Α’ τρίμηνο </w:t>
      </w:r>
    </w:p>
    <w:p w14:paraId="03A33311" w14:textId="77777777" w:rsidR="00790980" w:rsidRPr="00790980" w:rsidRDefault="00790980" w:rsidP="00790980">
      <w:pPr>
        <w:numPr>
          <w:ilvl w:val="0"/>
          <w:numId w:val="7"/>
        </w:numPr>
        <w:spacing w:before="100" w:beforeAutospacing="1" w:after="100" w:afterAutospacing="1"/>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 xml:space="preserve">Ολοκλήρωση της εξαγοράς της </w:t>
      </w:r>
      <w:proofErr w:type="spellStart"/>
      <w:r w:rsidRPr="007B1A77">
        <w:rPr>
          <w:rFonts w:ascii="Times New Roman" w:eastAsia="Times New Roman" w:hAnsi="Times New Roman"/>
          <w:b/>
          <w:bCs/>
          <w:szCs w:val="24"/>
          <w:lang w:eastAsia="el-GR"/>
        </w:rPr>
        <w:t>Cementos</w:t>
      </w:r>
      <w:proofErr w:type="spellEnd"/>
      <w:r w:rsidRPr="00790980">
        <w:rPr>
          <w:rFonts w:ascii="Times New Roman" w:eastAsia="Times New Roman" w:hAnsi="Times New Roman"/>
          <w:b/>
          <w:bCs/>
          <w:szCs w:val="24"/>
          <w:lang w:val="el-GR" w:eastAsia="el-GR"/>
        </w:rPr>
        <w:t xml:space="preserve"> </w:t>
      </w:r>
      <w:proofErr w:type="spellStart"/>
      <w:r w:rsidRPr="007B1A77">
        <w:rPr>
          <w:rFonts w:ascii="Times New Roman" w:eastAsia="Times New Roman" w:hAnsi="Times New Roman"/>
          <w:b/>
          <w:bCs/>
          <w:szCs w:val="24"/>
          <w:lang w:eastAsia="el-GR"/>
        </w:rPr>
        <w:t>Pacasmayo</w:t>
      </w:r>
      <w:proofErr w:type="spellEnd"/>
      <w:r w:rsidRPr="00790980">
        <w:rPr>
          <w:rFonts w:ascii="Times New Roman" w:eastAsia="Times New Roman" w:hAnsi="Times New Roman"/>
          <w:b/>
          <w:bCs/>
          <w:szCs w:val="24"/>
          <w:lang w:val="el-GR" w:eastAsia="el-GR"/>
        </w:rPr>
        <w:t xml:space="preserve"> και υπογραφή συμφωνίας εξαγοράς στην Κολομβία για επιτάχυνση της ανάπτυξης στην ελκυστική αγορά της Λατινικής Αμερικής </w:t>
      </w:r>
    </w:p>
    <w:p w14:paraId="26EAB532" w14:textId="2600A04E" w:rsidR="00790980" w:rsidRPr="00790980" w:rsidRDefault="00790980" w:rsidP="00790980">
      <w:pPr>
        <w:numPr>
          <w:ilvl w:val="0"/>
          <w:numId w:val="7"/>
        </w:numPr>
        <w:spacing w:before="100" w:beforeAutospacing="1" w:after="100" w:afterAutospacing="1"/>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 xml:space="preserve">Επιβεβαιώνονται </w:t>
      </w:r>
      <w:r>
        <w:rPr>
          <w:rFonts w:ascii="Times New Roman" w:eastAsia="Times New Roman" w:hAnsi="Times New Roman"/>
          <w:b/>
          <w:bCs/>
          <w:szCs w:val="24"/>
          <w:lang w:val="el-GR" w:eastAsia="el-GR"/>
        </w:rPr>
        <w:t xml:space="preserve">οι </w:t>
      </w:r>
      <w:r w:rsidRPr="00790980">
        <w:rPr>
          <w:rFonts w:ascii="Times New Roman" w:eastAsia="Times New Roman" w:hAnsi="Times New Roman"/>
          <w:b/>
          <w:bCs/>
          <w:szCs w:val="24"/>
          <w:lang w:val="el-GR" w:eastAsia="el-GR"/>
        </w:rPr>
        <w:t xml:space="preserve">εκτιμήσεις για το 2026 </w:t>
      </w:r>
    </w:p>
    <w:p w14:paraId="1536047A"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Ο </w:t>
      </w:r>
      <w:r w:rsidRPr="007B1A77">
        <w:rPr>
          <w:rFonts w:ascii="Times New Roman" w:eastAsia="Times New Roman" w:hAnsi="Times New Roman"/>
          <w:b/>
          <w:bCs/>
          <w:szCs w:val="24"/>
          <w:lang w:eastAsia="el-GR"/>
        </w:rPr>
        <w:t>Miljan</w:t>
      </w:r>
      <w:r w:rsidRPr="00790980">
        <w:rPr>
          <w:rFonts w:ascii="Times New Roman" w:eastAsia="Times New Roman" w:hAnsi="Times New Roman"/>
          <w:b/>
          <w:bCs/>
          <w:szCs w:val="24"/>
          <w:lang w:val="el-GR" w:eastAsia="el-GR"/>
        </w:rPr>
        <w:t xml:space="preserve"> </w:t>
      </w:r>
      <w:r w:rsidRPr="007B1A77">
        <w:rPr>
          <w:rFonts w:ascii="Times New Roman" w:eastAsia="Times New Roman" w:hAnsi="Times New Roman"/>
          <w:b/>
          <w:bCs/>
          <w:szCs w:val="24"/>
          <w:lang w:eastAsia="el-GR"/>
        </w:rPr>
        <w:t>Gutovic</w:t>
      </w:r>
      <w:r w:rsidRPr="00790980">
        <w:rPr>
          <w:rFonts w:ascii="Times New Roman" w:eastAsia="Times New Roman" w:hAnsi="Times New Roman"/>
          <w:b/>
          <w:bCs/>
          <w:szCs w:val="24"/>
          <w:lang w:val="el-GR" w:eastAsia="el-GR"/>
        </w:rPr>
        <w:t xml:space="preserve">, </w:t>
      </w:r>
      <w:r w:rsidRPr="007B1A77">
        <w:rPr>
          <w:rFonts w:ascii="Times New Roman" w:eastAsia="Times New Roman" w:hAnsi="Times New Roman"/>
          <w:b/>
          <w:bCs/>
          <w:szCs w:val="24"/>
          <w:lang w:eastAsia="el-GR"/>
        </w:rPr>
        <w:t>CEO</w:t>
      </w:r>
      <w:r w:rsidRPr="00790980">
        <w:rPr>
          <w:rFonts w:ascii="Times New Roman" w:eastAsia="Times New Roman" w:hAnsi="Times New Roman"/>
          <w:b/>
          <w:bCs/>
          <w:szCs w:val="24"/>
          <w:lang w:val="el-GR" w:eastAsia="el-GR"/>
        </w:rPr>
        <w:t xml:space="preserve"> της </w:t>
      </w:r>
      <w:r w:rsidRPr="00F531F3">
        <w:rPr>
          <w:rFonts w:ascii="Times New Roman" w:eastAsia="Times New Roman" w:hAnsi="Times New Roman"/>
          <w:b/>
          <w:bCs/>
          <w:szCs w:val="24"/>
          <w:lang w:eastAsia="el-GR"/>
        </w:rPr>
        <w:t>Holcim</w:t>
      </w:r>
      <w:r w:rsidRPr="00790980">
        <w:rPr>
          <w:rFonts w:ascii="Times New Roman" w:eastAsia="Times New Roman" w:hAnsi="Times New Roman"/>
          <w:szCs w:val="24"/>
          <w:lang w:val="el-GR" w:eastAsia="el-GR"/>
        </w:rPr>
        <w:t xml:space="preserve">, δήλωσε σχετικά: «Θα ήθελα να ευχαριστήσω όλους τους συναδέλφους της </w:t>
      </w:r>
      <w:r w:rsidRPr="007B1A77">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για την αφοσίωση και τη συμβολή τους στο ισχυρό ξεκίνημα της χρονιάς. </w:t>
      </w:r>
    </w:p>
    <w:p w14:paraId="54567078" w14:textId="4C25EC3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Η </w:t>
      </w:r>
      <w:r w:rsidRPr="007B1A77">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κατέγραψε ισχυρή οργανική ανάπτυξη στις καθαρές πωλήσεις, αξιοποιώντας τις ηγετικές της θέσεις σε ιδιαίτερα ελκυστικές αγορές. Η σημαντική οργανική αύξηση στα επαναλαμβανόμενα λειτουργικά </w:t>
      </w:r>
      <w:r w:rsidRPr="00CE4530">
        <w:rPr>
          <w:rFonts w:ascii="Times New Roman" w:eastAsia="Times New Roman" w:hAnsi="Times New Roman"/>
          <w:szCs w:val="24"/>
          <w:lang w:val="el-GR" w:eastAsia="el-GR"/>
        </w:rPr>
        <w:t>κέρδη (</w:t>
      </w:r>
      <w:r w:rsidR="00724B4D" w:rsidRPr="00CE4530">
        <w:rPr>
          <w:rFonts w:ascii="Times New Roman" w:eastAsia="Times New Roman" w:hAnsi="Times New Roman"/>
          <w:szCs w:val="24"/>
          <w:lang w:eastAsia="el-GR"/>
        </w:rPr>
        <w:t>recurring</w:t>
      </w:r>
      <w:r w:rsidR="00724B4D" w:rsidRPr="00CE4530">
        <w:rPr>
          <w:rFonts w:ascii="Times New Roman" w:eastAsia="Times New Roman" w:hAnsi="Times New Roman"/>
          <w:szCs w:val="24"/>
          <w:lang w:val="el-GR" w:eastAsia="el-GR"/>
        </w:rPr>
        <w:t xml:space="preserve"> </w:t>
      </w:r>
      <w:r w:rsidRPr="00CE4530">
        <w:rPr>
          <w:rFonts w:ascii="Times New Roman" w:eastAsia="Times New Roman" w:hAnsi="Times New Roman"/>
          <w:szCs w:val="24"/>
          <w:lang w:eastAsia="el-GR"/>
        </w:rPr>
        <w:t>EBIT</w:t>
      </w:r>
      <w:r w:rsidRPr="00CE4530">
        <w:rPr>
          <w:rFonts w:ascii="Times New Roman" w:eastAsia="Times New Roman" w:hAnsi="Times New Roman"/>
          <w:szCs w:val="24"/>
          <w:lang w:val="el-GR" w:eastAsia="el-GR"/>
        </w:rPr>
        <w:t xml:space="preserve">) </w:t>
      </w:r>
      <w:r w:rsidRPr="00790980">
        <w:rPr>
          <w:rFonts w:ascii="Times New Roman" w:eastAsia="Times New Roman" w:hAnsi="Times New Roman"/>
          <w:szCs w:val="24"/>
          <w:lang w:val="el-GR" w:eastAsia="el-GR"/>
        </w:rPr>
        <w:t xml:space="preserve">προήλθε από την αυστηρή διαχείριση κόστους, την επιχειρησιακή αριστεία και την αυξημένη ζήτηση για τα </w:t>
      </w:r>
      <w:r w:rsidRPr="007B1A77">
        <w:rPr>
          <w:rFonts w:ascii="Times New Roman" w:eastAsia="Times New Roman" w:hAnsi="Times New Roman"/>
          <w:szCs w:val="24"/>
          <w:lang w:eastAsia="el-GR"/>
        </w:rPr>
        <w:t>premium</w:t>
      </w:r>
      <w:r w:rsidRPr="00790980">
        <w:rPr>
          <w:rFonts w:ascii="Times New Roman" w:eastAsia="Times New Roman" w:hAnsi="Times New Roman"/>
          <w:szCs w:val="24"/>
          <w:lang w:val="el-GR" w:eastAsia="el-GR"/>
        </w:rPr>
        <w:t xml:space="preserve"> </w:t>
      </w:r>
      <w:r w:rsidRPr="007B1A77">
        <w:rPr>
          <w:rFonts w:ascii="Times New Roman" w:eastAsia="Times New Roman" w:hAnsi="Times New Roman"/>
          <w:szCs w:val="24"/>
          <w:lang w:eastAsia="el-GR"/>
        </w:rPr>
        <w:t>brands</w:t>
      </w:r>
      <w:r w:rsidRPr="00790980">
        <w:rPr>
          <w:rFonts w:ascii="Times New Roman" w:eastAsia="Times New Roman" w:hAnsi="Times New Roman"/>
          <w:szCs w:val="24"/>
          <w:lang w:val="el-GR" w:eastAsia="el-GR"/>
        </w:rPr>
        <w:t xml:space="preserve"> και τις βιώσιμες λύσεις μας. Αυτό οδήγησε τα προϊόντα </w:t>
      </w:r>
      <w:r w:rsidRPr="007B1A77">
        <w:rPr>
          <w:rFonts w:ascii="Times New Roman" w:eastAsia="Times New Roman" w:hAnsi="Times New Roman"/>
          <w:b/>
          <w:bCs/>
          <w:szCs w:val="24"/>
          <w:lang w:eastAsia="el-GR"/>
        </w:rPr>
        <w:t>ECOPact</w:t>
      </w:r>
      <w:r w:rsidRPr="00790980">
        <w:rPr>
          <w:rFonts w:ascii="Times New Roman" w:eastAsia="Times New Roman" w:hAnsi="Times New Roman"/>
          <w:b/>
          <w:bCs/>
          <w:szCs w:val="24"/>
          <w:lang w:val="el-GR" w:eastAsia="el-GR"/>
        </w:rPr>
        <w:t xml:space="preserve"> </w:t>
      </w:r>
      <w:r w:rsidRPr="00790980">
        <w:rPr>
          <w:rFonts w:ascii="Times New Roman" w:eastAsia="Times New Roman" w:hAnsi="Times New Roman"/>
          <w:szCs w:val="24"/>
          <w:lang w:val="el-GR" w:eastAsia="el-GR"/>
        </w:rPr>
        <w:t xml:space="preserve">και </w:t>
      </w:r>
      <w:r w:rsidRPr="007B1A77">
        <w:rPr>
          <w:rFonts w:ascii="Times New Roman" w:eastAsia="Times New Roman" w:hAnsi="Times New Roman"/>
          <w:b/>
          <w:bCs/>
          <w:szCs w:val="24"/>
          <w:lang w:eastAsia="el-GR"/>
        </w:rPr>
        <w:t>ECOPlanet</w:t>
      </w:r>
      <w:r w:rsidRPr="00790980">
        <w:rPr>
          <w:rFonts w:ascii="Times New Roman" w:eastAsia="Times New Roman" w:hAnsi="Times New Roman"/>
          <w:szCs w:val="24"/>
          <w:lang w:val="el-GR" w:eastAsia="el-GR"/>
        </w:rPr>
        <w:t xml:space="preserve"> να φτάσουν σε νέα υψηλά επίπεδα συμμετοχής στις πωλήσεις των αντίστοιχων κατηγοριών τους.</w:t>
      </w:r>
    </w:p>
    <w:p w14:paraId="1325959F"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Ενισχύοντας την κυκλική μας τεχνολογία </w:t>
      </w:r>
      <w:proofErr w:type="spellStart"/>
      <w:r w:rsidRPr="007B1A77">
        <w:rPr>
          <w:rFonts w:ascii="Times New Roman" w:eastAsia="Times New Roman" w:hAnsi="Times New Roman"/>
          <w:b/>
          <w:bCs/>
          <w:szCs w:val="24"/>
          <w:lang w:eastAsia="el-GR"/>
        </w:rPr>
        <w:t>ECOCycle</w:t>
      </w:r>
      <w:proofErr w:type="spellEnd"/>
      <w:r w:rsidRPr="00790980">
        <w:rPr>
          <w:rFonts w:ascii="Times New Roman" w:eastAsia="Times New Roman" w:hAnsi="Times New Roman"/>
          <w:szCs w:val="24"/>
          <w:lang w:val="el-GR" w:eastAsia="el-GR"/>
        </w:rPr>
        <w:t>, αυξήσαμε τον όγκο ανακυκλωμένων υλικών εκσκαφών και κατεδαφίσεων κατά 24%.</w:t>
      </w:r>
    </w:p>
    <w:p w14:paraId="23E9A910"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Η πειθαρχημένη στρατηγική μας στις εξαγορές και συγχωνεύσεις συνεχίστηκε με πέντε συμφωνίες που δημιουργούν αξία σε όλες τις περιοχές δραστηριοποίησής μας. Τον Μάρτιο, ολοκληρώσαμε την εξαγορά πλειοψηφικού πακέτου στην </w:t>
      </w:r>
      <w:proofErr w:type="spellStart"/>
      <w:r w:rsidRPr="007B1A77">
        <w:rPr>
          <w:rFonts w:ascii="Times New Roman" w:eastAsia="Times New Roman" w:hAnsi="Times New Roman"/>
          <w:szCs w:val="24"/>
          <w:lang w:eastAsia="el-GR"/>
        </w:rPr>
        <w:t>Cementos</w:t>
      </w:r>
      <w:proofErr w:type="spellEnd"/>
      <w:r w:rsidRPr="00790980">
        <w:rPr>
          <w:rFonts w:ascii="Times New Roman" w:eastAsia="Times New Roman" w:hAnsi="Times New Roman"/>
          <w:szCs w:val="24"/>
          <w:lang w:val="el-GR" w:eastAsia="el-GR"/>
        </w:rPr>
        <w:t xml:space="preserve"> </w:t>
      </w:r>
      <w:proofErr w:type="spellStart"/>
      <w:r w:rsidRPr="007B1A77">
        <w:rPr>
          <w:rFonts w:ascii="Times New Roman" w:eastAsia="Times New Roman" w:hAnsi="Times New Roman"/>
          <w:szCs w:val="24"/>
          <w:lang w:eastAsia="el-GR"/>
        </w:rPr>
        <w:t>Pacasmayo</w:t>
      </w:r>
      <w:proofErr w:type="spellEnd"/>
      <w:r w:rsidRPr="00790980">
        <w:rPr>
          <w:rFonts w:ascii="Times New Roman" w:eastAsia="Times New Roman" w:hAnsi="Times New Roman"/>
          <w:szCs w:val="24"/>
          <w:lang w:val="el-GR" w:eastAsia="el-GR"/>
        </w:rPr>
        <w:t xml:space="preserve"> στο Περού και υπογράψαμε συμφωνία για την εξαγορά δραστηριοτήτων δομικών υλικών και λύσεων στην Κολομβία. Οι επενδύσεις αυτές ενισχύουν την παρουσία μας στη δυναμική αγορά της Λατινικής Αμερικής. Με το ανθεκτικό και αποδεδειγμένο επιχειρηματικό μας μοντέλο, επιβεβαιώνουμε τις εκτιμήσεις μας για το 2026».</w:t>
      </w:r>
    </w:p>
    <w:p w14:paraId="3C56246B" w14:textId="77777777" w:rsidR="00790980" w:rsidRDefault="00790980" w:rsidP="00790980">
      <w:pPr>
        <w:spacing w:before="100" w:beforeAutospacing="1" w:after="100" w:afterAutospacing="1"/>
        <w:rPr>
          <w:rFonts w:ascii="Times New Roman" w:eastAsia="Times New Roman" w:hAnsi="Times New Roman"/>
          <w:b/>
          <w:bCs/>
          <w:szCs w:val="24"/>
          <w:lang w:val="el-GR" w:eastAsia="el-GR"/>
        </w:rPr>
      </w:pPr>
    </w:p>
    <w:p w14:paraId="12FDEF11" w14:textId="77777777" w:rsidR="00790980" w:rsidRDefault="00790980" w:rsidP="00790980">
      <w:pPr>
        <w:spacing w:before="100" w:beforeAutospacing="1" w:after="100" w:afterAutospacing="1"/>
        <w:rPr>
          <w:rFonts w:ascii="Times New Roman" w:eastAsia="Times New Roman" w:hAnsi="Times New Roman"/>
          <w:b/>
          <w:bCs/>
          <w:szCs w:val="24"/>
          <w:lang w:val="el-GR" w:eastAsia="el-GR"/>
        </w:rPr>
      </w:pPr>
    </w:p>
    <w:p w14:paraId="692D87B2" w14:textId="77777777" w:rsidR="00790980" w:rsidRDefault="00790980" w:rsidP="00790980">
      <w:pPr>
        <w:spacing w:before="100" w:beforeAutospacing="1" w:after="100" w:afterAutospacing="1"/>
        <w:rPr>
          <w:rFonts w:ascii="Times New Roman" w:eastAsia="Times New Roman" w:hAnsi="Times New Roman"/>
          <w:b/>
          <w:bCs/>
          <w:szCs w:val="24"/>
          <w:lang w:val="el-GR" w:eastAsia="el-GR"/>
        </w:rPr>
      </w:pPr>
    </w:p>
    <w:p w14:paraId="6200B456" w14:textId="77777777" w:rsidR="00790980" w:rsidRPr="00724B4D" w:rsidRDefault="00790980" w:rsidP="00790980">
      <w:pPr>
        <w:spacing w:before="100" w:beforeAutospacing="1" w:after="100" w:afterAutospacing="1"/>
        <w:rPr>
          <w:rFonts w:ascii="Times New Roman" w:eastAsia="Times New Roman" w:hAnsi="Times New Roman"/>
          <w:b/>
          <w:bCs/>
          <w:szCs w:val="24"/>
          <w:lang w:val="el-GR" w:eastAsia="el-GR"/>
        </w:rPr>
      </w:pPr>
    </w:p>
    <w:p w14:paraId="31AB2228" w14:textId="75DC240C" w:rsidR="00790980" w:rsidRPr="00790980" w:rsidRDefault="00790980" w:rsidP="00790980">
      <w:pPr>
        <w:spacing w:before="100" w:beforeAutospacing="1" w:after="100" w:afterAutospacing="1"/>
        <w:rPr>
          <w:rFonts w:ascii="Times New Roman" w:eastAsia="Times New Roman" w:hAnsi="Times New Roman"/>
          <w:b/>
          <w:bCs/>
          <w:szCs w:val="24"/>
          <w:u w:val="single"/>
          <w:lang w:val="el-GR" w:eastAsia="el-GR"/>
        </w:rPr>
      </w:pPr>
      <w:r w:rsidRPr="00790980">
        <w:rPr>
          <w:rFonts w:ascii="Times New Roman" w:eastAsia="Times New Roman" w:hAnsi="Times New Roman"/>
          <w:b/>
          <w:bCs/>
          <w:szCs w:val="24"/>
          <w:u w:val="single"/>
          <w:lang w:val="el-GR" w:eastAsia="el-GR"/>
        </w:rPr>
        <w:t>Επισκόπηση επιδόσεων Α’ τριμήνου</w:t>
      </w:r>
    </w:p>
    <w:p w14:paraId="7D083A90" w14:textId="560C51CE"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b/>
          <w:bCs/>
          <w:szCs w:val="24"/>
          <w:lang w:val="el-GR" w:eastAsia="el-GR"/>
        </w:rPr>
        <w:t xml:space="preserve">Όμιλος </w:t>
      </w:r>
      <w:r>
        <w:rPr>
          <w:rFonts w:ascii="Times New Roman" w:eastAsia="Times New Roman" w:hAnsi="Times New Roman"/>
          <w:b/>
          <w:bCs/>
          <w:szCs w:val="24"/>
          <w:lang w:eastAsia="el-GR"/>
        </w:rPr>
        <w:t>Holcim</w:t>
      </w:r>
      <w:r w:rsidRPr="00790980">
        <w:rPr>
          <w:rFonts w:ascii="Times New Roman" w:eastAsia="Times New Roman" w:hAnsi="Times New Roman"/>
          <w:b/>
          <w:bCs/>
          <w:szCs w:val="24"/>
          <w:lang w:val="el-GR" w:eastAsia="el-GR"/>
        </w:rPr>
        <w:t xml:space="preserve"> – Α’ Τρίμηνο</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20"/>
        <w:gridCol w:w="600"/>
        <w:gridCol w:w="1994"/>
        <w:gridCol w:w="1191"/>
        <w:gridCol w:w="1601"/>
      </w:tblGrid>
      <w:tr w:rsidR="00790980" w:rsidRPr="007B1A77" w14:paraId="1CC4C1EF" w14:textId="77777777" w:rsidTr="00534F2F">
        <w:trPr>
          <w:tblHeader/>
          <w:tblCellSpacing w:w="15" w:type="dxa"/>
          <w:jc w:val="center"/>
        </w:trPr>
        <w:tc>
          <w:tcPr>
            <w:tcW w:w="0" w:type="auto"/>
            <w:vAlign w:val="center"/>
            <w:hideMark/>
          </w:tcPr>
          <w:p w14:paraId="3FBB9F06" w14:textId="77777777" w:rsidR="00790980" w:rsidRPr="00790980" w:rsidRDefault="00790980" w:rsidP="006B31D2">
            <w:pPr>
              <w:rPr>
                <w:rFonts w:ascii="Times New Roman" w:eastAsia="Times New Roman" w:hAnsi="Times New Roman"/>
                <w:szCs w:val="24"/>
                <w:lang w:val="el-GR" w:eastAsia="el-GR"/>
              </w:rPr>
            </w:pPr>
          </w:p>
        </w:tc>
        <w:tc>
          <w:tcPr>
            <w:tcW w:w="0" w:type="auto"/>
            <w:vAlign w:val="center"/>
            <w:hideMark/>
          </w:tcPr>
          <w:p w14:paraId="1BD074A3" w14:textId="77777777" w:rsidR="00790980" w:rsidRPr="007B1A77" w:rsidRDefault="00790980" w:rsidP="00534F2F">
            <w:pPr>
              <w:jc w:val="center"/>
              <w:rPr>
                <w:rFonts w:ascii="Times New Roman" w:eastAsia="Times New Roman" w:hAnsi="Times New Roman"/>
                <w:b/>
                <w:bCs/>
                <w:szCs w:val="24"/>
                <w:lang w:eastAsia="el-GR"/>
              </w:rPr>
            </w:pPr>
            <w:r w:rsidRPr="007B1A77">
              <w:rPr>
                <w:rFonts w:ascii="Times New Roman" w:eastAsia="Times New Roman" w:hAnsi="Times New Roman"/>
                <w:b/>
                <w:bCs/>
                <w:szCs w:val="24"/>
                <w:lang w:eastAsia="el-GR"/>
              </w:rPr>
              <w:t>2026</w:t>
            </w:r>
          </w:p>
        </w:tc>
        <w:tc>
          <w:tcPr>
            <w:tcW w:w="0" w:type="auto"/>
            <w:vAlign w:val="center"/>
            <w:hideMark/>
          </w:tcPr>
          <w:p w14:paraId="27174152" w14:textId="77777777" w:rsidR="00790980" w:rsidRPr="007B1A77" w:rsidRDefault="00790980" w:rsidP="00534F2F">
            <w:pPr>
              <w:jc w:val="center"/>
              <w:rPr>
                <w:rFonts w:ascii="Times New Roman" w:eastAsia="Times New Roman" w:hAnsi="Times New Roman"/>
                <w:b/>
                <w:bCs/>
                <w:szCs w:val="24"/>
                <w:lang w:eastAsia="el-GR"/>
              </w:rPr>
            </w:pPr>
            <w:r w:rsidRPr="007B1A77">
              <w:rPr>
                <w:rFonts w:ascii="Times New Roman" w:eastAsia="Times New Roman" w:hAnsi="Times New Roman"/>
                <w:b/>
                <w:bCs/>
                <w:szCs w:val="24"/>
                <w:lang w:eastAsia="el-GR"/>
              </w:rPr>
              <w:t>2025 (ανα</w:t>
            </w:r>
            <w:proofErr w:type="spellStart"/>
            <w:r w:rsidRPr="007B1A77">
              <w:rPr>
                <w:rFonts w:ascii="Times New Roman" w:eastAsia="Times New Roman" w:hAnsi="Times New Roman"/>
                <w:b/>
                <w:bCs/>
                <w:szCs w:val="24"/>
                <w:lang w:eastAsia="el-GR"/>
              </w:rPr>
              <w:t>θεωρημένο</w:t>
            </w:r>
            <w:proofErr w:type="spellEnd"/>
            <w:r w:rsidRPr="007B1A77">
              <w:rPr>
                <w:rFonts w:ascii="Times New Roman" w:eastAsia="Times New Roman" w:hAnsi="Times New Roman"/>
                <w:b/>
                <w:bCs/>
                <w:szCs w:val="24"/>
                <w:lang w:eastAsia="el-GR"/>
              </w:rPr>
              <w:t>)</w:t>
            </w:r>
          </w:p>
        </w:tc>
        <w:tc>
          <w:tcPr>
            <w:tcW w:w="0" w:type="auto"/>
            <w:vAlign w:val="center"/>
            <w:hideMark/>
          </w:tcPr>
          <w:p w14:paraId="4231B1CB" w14:textId="77777777" w:rsidR="00790980" w:rsidRPr="007B1A77" w:rsidRDefault="00790980" w:rsidP="00534F2F">
            <w:pPr>
              <w:jc w:val="center"/>
              <w:rPr>
                <w:rFonts w:ascii="Times New Roman" w:eastAsia="Times New Roman" w:hAnsi="Times New Roman"/>
                <w:b/>
                <w:bCs/>
                <w:szCs w:val="24"/>
                <w:lang w:eastAsia="el-GR"/>
              </w:rPr>
            </w:pPr>
            <w:r w:rsidRPr="007B1A77">
              <w:rPr>
                <w:rFonts w:ascii="Times New Roman" w:eastAsia="Times New Roman" w:hAnsi="Times New Roman"/>
                <w:b/>
                <w:bCs/>
                <w:szCs w:val="24"/>
                <w:lang w:eastAsia="el-GR"/>
              </w:rPr>
              <w:t xml:space="preserve">% </w:t>
            </w:r>
            <w:proofErr w:type="spellStart"/>
            <w:r w:rsidRPr="007B1A77">
              <w:rPr>
                <w:rFonts w:ascii="Times New Roman" w:eastAsia="Times New Roman" w:hAnsi="Times New Roman"/>
                <w:b/>
                <w:bCs/>
                <w:szCs w:val="24"/>
                <w:lang w:eastAsia="el-GR"/>
              </w:rPr>
              <w:t>μετ</w:t>
            </w:r>
            <w:proofErr w:type="spellEnd"/>
            <w:r w:rsidRPr="007B1A77">
              <w:rPr>
                <w:rFonts w:ascii="Times New Roman" w:eastAsia="Times New Roman" w:hAnsi="Times New Roman"/>
                <w:b/>
                <w:bCs/>
                <w:szCs w:val="24"/>
                <w:lang w:eastAsia="el-GR"/>
              </w:rPr>
              <w:t>αβολή</w:t>
            </w:r>
          </w:p>
        </w:tc>
        <w:tc>
          <w:tcPr>
            <w:tcW w:w="0" w:type="auto"/>
            <w:vAlign w:val="center"/>
            <w:hideMark/>
          </w:tcPr>
          <w:p w14:paraId="077E8BC5" w14:textId="77777777" w:rsidR="00790980" w:rsidRPr="007B1A77" w:rsidRDefault="00790980" w:rsidP="00534F2F">
            <w:pPr>
              <w:jc w:val="center"/>
              <w:rPr>
                <w:rFonts w:ascii="Times New Roman" w:eastAsia="Times New Roman" w:hAnsi="Times New Roman"/>
                <w:b/>
                <w:bCs/>
                <w:szCs w:val="24"/>
                <w:lang w:eastAsia="el-GR"/>
              </w:rPr>
            </w:pPr>
            <w:proofErr w:type="spellStart"/>
            <w:r w:rsidRPr="007B1A77">
              <w:rPr>
                <w:rFonts w:ascii="Times New Roman" w:eastAsia="Times New Roman" w:hAnsi="Times New Roman"/>
                <w:b/>
                <w:bCs/>
                <w:szCs w:val="24"/>
                <w:lang w:eastAsia="el-GR"/>
              </w:rPr>
              <w:t>Οργ</w:t>
            </w:r>
            <w:proofErr w:type="spellEnd"/>
            <w:r w:rsidRPr="007B1A77">
              <w:rPr>
                <w:rFonts w:ascii="Times New Roman" w:eastAsia="Times New Roman" w:hAnsi="Times New Roman"/>
                <w:b/>
                <w:bCs/>
                <w:szCs w:val="24"/>
                <w:lang w:eastAsia="el-GR"/>
              </w:rPr>
              <w:t>ανική α</w:t>
            </w:r>
            <w:proofErr w:type="spellStart"/>
            <w:r w:rsidRPr="007B1A77">
              <w:rPr>
                <w:rFonts w:ascii="Times New Roman" w:eastAsia="Times New Roman" w:hAnsi="Times New Roman"/>
                <w:b/>
                <w:bCs/>
                <w:szCs w:val="24"/>
                <w:lang w:eastAsia="el-GR"/>
              </w:rPr>
              <w:t>νά</w:t>
            </w:r>
            <w:proofErr w:type="spellEnd"/>
            <w:r w:rsidRPr="007B1A77">
              <w:rPr>
                <w:rFonts w:ascii="Times New Roman" w:eastAsia="Times New Roman" w:hAnsi="Times New Roman"/>
                <w:b/>
                <w:bCs/>
                <w:szCs w:val="24"/>
                <w:lang w:eastAsia="el-GR"/>
              </w:rPr>
              <w:t>πτυξη</w:t>
            </w:r>
          </w:p>
        </w:tc>
      </w:tr>
      <w:tr w:rsidR="00790980" w:rsidRPr="007B1A77" w14:paraId="28FEE595" w14:textId="77777777" w:rsidTr="00534F2F">
        <w:trPr>
          <w:tblCellSpacing w:w="15" w:type="dxa"/>
          <w:jc w:val="center"/>
        </w:trPr>
        <w:tc>
          <w:tcPr>
            <w:tcW w:w="0" w:type="auto"/>
            <w:vAlign w:val="center"/>
            <w:hideMark/>
          </w:tcPr>
          <w:p w14:paraId="4350BE99" w14:textId="77777777" w:rsidR="00790980" w:rsidRPr="007B1A77" w:rsidRDefault="00790980" w:rsidP="006B31D2">
            <w:pPr>
              <w:rPr>
                <w:rFonts w:ascii="Times New Roman" w:eastAsia="Times New Roman" w:hAnsi="Times New Roman"/>
                <w:szCs w:val="24"/>
                <w:lang w:eastAsia="el-GR"/>
              </w:rPr>
            </w:pPr>
            <w:r w:rsidRPr="007B1A77">
              <w:rPr>
                <w:rFonts w:ascii="Times New Roman" w:eastAsia="Times New Roman" w:hAnsi="Times New Roman"/>
                <w:szCs w:val="24"/>
                <w:lang w:eastAsia="el-GR"/>
              </w:rPr>
              <w:t>Καθα</w:t>
            </w:r>
            <w:proofErr w:type="spellStart"/>
            <w:r w:rsidRPr="007B1A77">
              <w:rPr>
                <w:rFonts w:ascii="Times New Roman" w:eastAsia="Times New Roman" w:hAnsi="Times New Roman"/>
                <w:szCs w:val="24"/>
                <w:lang w:eastAsia="el-GR"/>
              </w:rPr>
              <w:t>ρές</w:t>
            </w:r>
            <w:proofErr w:type="spellEnd"/>
            <w:r w:rsidRPr="007B1A77">
              <w:rPr>
                <w:rFonts w:ascii="Times New Roman" w:eastAsia="Times New Roman" w:hAnsi="Times New Roman"/>
                <w:szCs w:val="24"/>
                <w:lang w:eastAsia="el-GR"/>
              </w:rPr>
              <w:t xml:space="preserve"> π</w:t>
            </w:r>
            <w:proofErr w:type="spellStart"/>
            <w:r w:rsidRPr="007B1A77">
              <w:rPr>
                <w:rFonts w:ascii="Times New Roman" w:eastAsia="Times New Roman" w:hAnsi="Times New Roman"/>
                <w:szCs w:val="24"/>
                <w:lang w:eastAsia="el-GR"/>
              </w:rPr>
              <w:t>ωλήσεις</w:t>
            </w:r>
            <w:proofErr w:type="spellEnd"/>
            <w:r w:rsidRPr="007B1A77">
              <w:rPr>
                <w:rFonts w:ascii="Times New Roman" w:eastAsia="Times New Roman" w:hAnsi="Times New Roman"/>
                <w:szCs w:val="24"/>
                <w:lang w:eastAsia="el-GR"/>
              </w:rPr>
              <w:t xml:space="preserve"> (CHF </w:t>
            </w:r>
            <w:proofErr w:type="spellStart"/>
            <w:r w:rsidRPr="007B1A77">
              <w:rPr>
                <w:rFonts w:ascii="Times New Roman" w:eastAsia="Times New Roman" w:hAnsi="Times New Roman"/>
                <w:szCs w:val="24"/>
                <w:lang w:eastAsia="el-GR"/>
              </w:rPr>
              <w:t>εκ</w:t>
            </w:r>
            <w:proofErr w:type="spellEnd"/>
            <w:r w:rsidRPr="007B1A77">
              <w:rPr>
                <w:rFonts w:ascii="Times New Roman" w:eastAsia="Times New Roman" w:hAnsi="Times New Roman"/>
                <w:szCs w:val="24"/>
                <w:lang w:eastAsia="el-GR"/>
              </w:rPr>
              <w:t>ατ.)</w:t>
            </w:r>
          </w:p>
        </w:tc>
        <w:tc>
          <w:tcPr>
            <w:tcW w:w="0" w:type="auto"/>
            <w:vAlign w:val="center"/>
            <w:hideMark/>
          </w:tcPr>
          <w:p w14:paraId="0BACC615" w14:textId="77777777"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3.520</w:t>
            </w:r>
          </w:p>
        </w:tc>
        <w:tc>
          <w:tcPr>
            <w:tcW w:w="0" w:type="auto"/>
            <w:vAlign w:val="center"/>
            <w:hideMark/>
          </w:tcPr>
          <w:p w14:paraId="7E37C694" w14:textId="38C8A150"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3.696</w:t>
            </w:r>
          </w:p>
        </w:tc>
        <w:tc>
          <w:tcPr>
            <w:tcW w:w="0" w:type="auto"/>
            <w:vAlign w:val="center"/>
            <w:hideMark/>
          </w:tcPr>
          <w:p w14:paraId="3CCA0963" w14:textId="53554C0D" w:rsidR="00790980" w:rsidRPr="007B1A77" w:rsidRDefault="00790980" w:rsidP="00534F2F">
            <w:pPr>
              <w:jc w:val="center"/>
              <w:rPr>
                <w:rFonts w:ascii="Times New Roman" w:eastAsia="Times New Roman" w:hAnsi="Times New Roman"/>
                <w:szCs w:val="24"/>
                <w:lang w:eastAsia="el-GR"/>
              </w:rPr>
            </w:pPr>
            <w:r>
              <w:rPr>
                <w:rFonts w:ascii="Times New Roman" w:eastAsia="Times New Roman" w:hAnsi="Times New Roman"/>
                <w:szCs w:val="24"/>
                <w:lang w:eastAsia="el-GR"/>
              </w:rPr>
              <w:t>(</w:t>
            </w:r>
            <w:r w:rsidRPr="007B1A77">
              <w:rPr>
                <w:rFonts w:ascii="Times New Roman" w:eastAsia="Times New Roman" w:hAnsi="Times New Roman"/>
                <w:szCs w:val="24"/>
                <w:lang w:eastAsia="el-GR"/>
              </w:rPr>
              <w:t>4,8</w:t>
            </w:r>
            <w:r>
              <w:rPr>
                <w:rFonts w:ascii="Times New Roman" w:eastAsia="Times New Roman" w:hAnsi="Times New Roman"/>
                <w:szCs w:val="24"/>
                <w:lang w:eastAsia="el-GR"/>
              </w:rPr>
              <w:t>)</w:t>
            </w:r>
          </w:p>
        </w:tc>
        <w:tc>
          <w:tcPr>
            <w:tcW w:w="0" w:type="auto"/>
            <w:vAlign w:val="center"/>
            <w:hideMark/>
          </w:tcPr>
          <w:p w14:paraId="2DD6EAEA" w14:textId="7FB875DA"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+3,9%</w:t>
            </w:r>
          </w:p>
        </w:tc>
      </w:tr>
      <w:tr w:rsidR="00790980" w:rsidRPr="007B1A77" w14:paraId="230E6A33" w14:textId="77777777" w:rsidTr="00534F2F">
        <w:trPr>
          <w:tblCellSpacing w:w="15" w:type="dxa"/>
          <w:jc w:val="center"/>
        </w:trPr>
        <w:tc>
          <w:tcPr>
            <w:tcW w:w="0" w:type="auto"/>
            <w:vAlign w:val="center"/>
            <w:hideMark/>
          </w:tcPr>
          <w:p w14:paraId="55BA3F0C" w14:textId="77777777" w:rsidR="00790980" w:rsidRPr="007B1A77" w:rsidRDefault="00790980" w:rsidP="006B31D2">
            <w:pPr>
              <w:rPr>
                <w:rFonts w:ascii="Times New Roman" w:eastAsia="Times New Roman" w:hAnsi="Times New Roman"/>
                <w:szCs w:val="24"/>
                <w:lang w:eastAsia="el-GR"/>
              </w:rPr>
            </w:pPr>
            <w:r w:rsidRPr="007B1A77">
              <w:rPr>
                <w:rFonts w:ascii="Times New Roman" w:eastAsia="Times New Roman" w:hAnsi="Times New Roman"/>
                <w:szCs w:val="24"/>
                <w:lang w:eastAsia="el-GR"/>
              </w:rPr>
              <w:t>Επαναλαμβα</w:t>
            </w:r>
            <w:proofErr w:type="spellStart"/>
            <w:r w:rsidRPr="007B1A77">
              <w:rPr>
                <w:rFonts w:ascii="Times New Roman" w:eastAsia="Times New Roman" w:hAnsi="Times New Roman"/>
                <w:szCs w:val="24"/>
                <w:lang w:eastAsia="el-GR"/>
              </w:rPr>
              <w:t>νόμεν</w:t>
            </w:r>
            <w:proofErr w:type="spellEnd"/>
            <w:r w:rsidRPr="007B1A77">
              <w:rPr>
                <w:rFonts w:ascii="Times New Roman" w:eastAsia="Times New Roman" w:hAnsi="Times New Roman"/>
                <w:szCs w:val="24"/>
                <w:lang w:eastAsia="el-GR"/>
              </w:rPr>
              <w:t xml:space="preserve">α EBIT (CHF </w:t>
            </w:r>
            <w:proofErr w:type="spellStart"/>
            <w:r w:rsidRPr="007B1A77">
              <w:rPr>
                <w:rFonts w:ascii="Times New Roman" w:eastAsia="Times New Roman" w:hAnsi="Times New Roman"/>
                <w:szCs w:val="24"/>
                <w:lang w:eastAsia="el-GR"/>
              </w:rPr>
              <w:t>εκ</w:t>
            </w:r>
            <w:proofErr w:type="spellEnd"/>
            <w:r w:rsidRPr="007B1A77">
              <w:rPr>
                <w:rFonts w:ascii="Times New Roman" w:eastAsia="Times New Roman" w:hAnsi="Times New Roman"/>
                <w:szCs w:val="24"/>
                <w:lang w:eastAsia="el-GR"/>
              </w:rPr>
              <w:t>ατ.)</w:t>
            </w:r>
          </w:p>
        </w:tc>
        <w:tc>
          <w:tcPr>
            <w:tcW w:w="0" w:type="auto"/>
            <w:vAlign w:val="center"/>
            <w:hideMark/>
          </w:tcPr>
          <w:p w14:paraId="651198DB" w14:textId="77777777"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431</w:t>
            </w:r>
          </w:p>
        </w:tc>
        <w:tc>
          <w:tcPr>
            <w:tcW w:w="0" w:type="auto"/>
            <w:vAlign w:val="center"/>
            <w:hideMark/>
          </w:tcPr>
          <w:p w14:paraId="6F22002B" w14:textId="03E14BD0"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485</w:t>
            </w:r>
          </w:p>
        </w:tc>
        <w:tc>
          <w:tcPr>
            <w:tcW w:w="0" w:type="auto"/>
            <w:vAlign w:val="center"/>
            <w:hideMark/>
          </w:tcPr>
          <w:p w14:paraId="066D6012" w14:textId="0A53814B" w:rsidR="00790980" w:rsidRPr="00790980" w:rsidRDefault="00790980" w:rsidP="00534F2F">
            <w:pPr>
              <w:jc w:val="center"/>
              <w:rPr>
                <w:rFonts w:ascii="Times New Roman" w:hAnsi="Times New Roman"/>
                <w:szCs w:val="24"/>
                <w:lang w:eastAsia="el-GR"/>
              </w:rPr>
            </w:pPr>
            <w:r>
              <w:rPr>
                <w:rFonts w:ascii="Times New Roman" w:hAnsi="Times New Roman"/>
                <w:szCs w:val="24"/>
                <w:lang w:eastAsia="el-GR"/>
              </w:rPr>
              <w:t>(</w:t>
            </w:r>
            <w:r w:rsidRPr="00790980">
              <w:rPr>
                <w:rFonts w:ascii="Times New Roman" w:hAnsi="Times New Roman"/>
                <w:szCs w:val="24"/>
                <w:lang w:eastAsia="el-GR"/>
              </w:rPr>
              <w:t>11,2</w:t>
            </w:r>
            <w:r>
              <w:rPr>
                <w:rFonts w:ascii="Times New Roman" w:hAnsi="Times New Roman"/>
                <w:szCs w:val="24"/>
                <w:lang w:eastAsia="el-GR"/>
              </w:rPr>
              <w:t>)</w:t>
            </w:r>
          </w:p>
        </w:tc>
        <w:tc>
          <w:tcPr>
            <w:tcW w:w="0" w:type="auto"/>
            <w:vAlign w:val="center"/>
            <w:hideMark/>
          </w:tcPr>
          <w:p w14:paraId="2D0B3C20" w14:textId="628E2953"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+8,3%</w:t>
            </w:r>
          </w:p>
        </w:tc>
      </w:tr>
      <w:tr w:rsidR="00790980" w:rsidRPr="007B1A77" w14:paraId="7862FDE2" w14:textId="77777777" w:rsidTr="00534F2F">
        <w:trPr>
          <w:tblCellSpacing w:w="15" w:type="dxa"/>
          <w:jc w:val="center"/>
        </w:trPr>
        <w:tc>
          <w:tcPr>
            <w:tcW w:w="0" w:type="auto"/>
            <w:vAlign w:val="center"/>
            <w:hideMark/>
          </w:tcPr>
          <w:p w14:paraId="7B0CE072" w14:textId="77777777" w:rsidR="00790980" w:rsidRPr="007B1A77" w:rsidRDefault="00790980" w:rsidP="006B31D2">
            <w:pPr>
              <w:rPr>
                <w:rFonts w:ascii="Times New Roman" w:eastAsia="Times New Roman" w:hAnsi="Times New Roman"/>
                <w:szCs w:val="24"/>
                <w:lang w:eastAsia="el-GR"/>
              </w:rPr>
            </w:pPr>
            <w:proofErr w:type="spellStart"/>
            <w:r w:rsidRPr="007B1A77">
              <w:rPr>
                <w:rFonts w:ascii="Times New Roman" w:eastAsia="Times New Roman" w:hAnsi="Times New Roman"/>
                <w:szCs w:val="24"/>
                <w:lang w:eastAsia="el-GR"/>
              </w:rPr>
              <w:t>Περιθώριο</w:t>
            </w:r>
            <w:proofErr w:type="spellEnd"/>
            <w:r w:rsidRPr="007B1A77">
              <w:rPr>
                <w:rFonts w:ascii="Times New Roman" w:eastAsia="Times New Roman" w:hAnsi="Times New Roman"/>
                <w:szCs w:val="24"/>
                <w:lang w:eastAsia="el-GR"/>
              </w:rPr>
              <w:t xml:space="preserve"> EBIT (%)</w:t>
            </w:r>
          </w:p>
        </w:tc>
        <w:tc>
          <w:tcPr>
            <w:tcW w:w="0" w:type="auto"/>
            <w:vAlign w:val="center"/>
            <w:hideMark/>
          </w:tcPr>
          <w:p w14:paraId="380B5EEA" w14:textId="77777777"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12,2</w:t>
            </w:r>
          </w:p>
        </w:tc>
        <w:tc>
          <w:tcPr>
            <w:tcW w:w="0" w:type="auto"/>
            <w:vAlign w:val="center"/>
            <w:hideMark/>
          </w:tcPr>
          <w:p w14:paraId="27450742" w14:textId="7526248E"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13,1</w:t>
            </w:r>
          </w:p>
        </w:tc>
        <w:tc>
          <w:tcPr>
            <w:tcW w:w="0" w:type="auto"/>
            <w:vAlign w:val="center"/>
            <w:hideMark/>
          </w:tcPr>
          <w:p w14:paraId="1E34370F" w14:textId="4093C34F" w:rsidR="00790980" w:rsidRPr="007B1A77" w:rsidRDefault="00790980" w:rsidP="00534F2F">
            <w:pPr>
              <w:jc w:val="center"/>
              <w:rPr>
                <w:rFonts w:ascii="Times New Roman" w:eastAsia="Times New Roman" w:hAnsi="Times New Roman"/>
                <w:szCs w:val="24"/>
                <w:lang w:eastAsia="el-GR"/>
              </w:rPr>
            </w:pPr>
            <w:r>
              <w:rPr>
                <w:rFonts w:ascii="Times New Roman" w:eastAsia="Times New Roman" w:hAnsi="Times New Roman"/>
                <w:szCs w:val="24"/>
                <w:lang w:eastAsia="el-GR"/>
              </w:rPr>
              <w:t>(</w:t>
            </w:r>
            <w:r w:rsidRPr="007B1A77">
              <w:rPr>
                <w:rFonts w:ascii="Times New Roman" w:eastAsia="Times New Roman" w:hAnsi="Times New Roman"/>
                <w:szCs w:val="24"/>
                <w:lang w:eastAsia="el-GR"/>
              </w:rPr>
              <w:t xml:space="preserve">90 </w:t>
            </w:r>
            <w:r>
              <w:rPr>
                <w:rFonts w:ascii="Times New Roman" w:eastAsia="Times New Roman" w:hAnsi="Times New Roman"/>
                <w:szCs w:val="24"/>
                <w:lang w:eastAsia="el-GR"/>
              </w:rPr>
              <w:t>bps</w:t>
            </w:r>
            <w:r w:rsidR="00FA1469">
              <w:rPr>
                <w:rFonts w:ascii="Times New Roman" w:eastAsia="Times New Roman" w:hAnsi="Times New Roman"/>
                <w:szCs w:val="24"/>
                <w:lang w:eastAsia="el-GR"/>
              </w:rPr>
              <w:t>)</w:t>
            </w:r>
          </w:p>
        </w:tc>
        <w:tc>
          <w:tcPr>
            <w:tcW w:w="0" w:type="auto"/>
            <w:vAlign w:val="center"/>
            <w:hideMark/>
          </w:tcPr>
          <w:p w14:paraId="54310A3F" w14:textId="77777777" w:rsidR="00790980" w:rsidRPr="007B1A77" w:rsidRDefault="00790980" w:rsidP="00534F2F">
            <w:pPr>
              <w:jc w:val="center"/>
              <w:rPr>
                <w:rFonts w:ascii="Times New Roman" w:eastAsia="Times New Roman" w:hAnsi="Times New Roman"/>
                <w:szCs w:val="24"/>
                <w:lang w:eastAsia="el-GR"/>
              </w:rPr>
            </w:pPr>
          </w:p>
        </w:tc>
      </w:tr>
    </w:tbl>
    <w:p w14:paraId="36F8626E" w14:textId="3F6C4CBC" w:rsidR="00790980" w:rsidRPr="00534F2F" w:rsidRDefault="00790980" w:rsidP="00790980">
      <w:pPr>
        <w:spacing w:before="100" w:beforeAutospacing="1" w:after="100" w:afterAutospacing="1"/>
        <w:rPr>
          <w:rFonts w:ascii="Times New Roman" w:eastAsia="Times New Roman" w:hAnsi="Times New Roman"/>
          <w:i/>
          <w:iCs/>
          <w:sz w:val="20"/>
          <w:lang w:val="el-GR" w:eastAsia="el-GR"/>
        </w:rPr>
      </w:pPr>
      <w:r w:rsidRPr="00790980">
        <w:rPr>
          <w:rFonts w:ascii="Times New Roman" w:eastAsia="Times New Roman" w:hAnsi="Times New Roman"/>
          <w:i/>
          <w:iCs/>
          <w:sz w:val="20"/>
          <w:lang w:val="el-GR" w:eastAsia="el-GR"/>
        </w:rPr>
        <w:t>Τα συγκριτικά στοιχεία έχουν αναπροσαρμοστεί λόγω δραστηριοτήτων σε παύση</w:t>
      </w:r>
      <w:r w:rsidR="00534F2F" w:rsidRPr="00534F2F">
        <w:rPr>
          <w:rFonts w:ascii="Times New Roman" w:eastAsia="Times New Roman" w:hAnsi="Times New Roman"/>
          <w:i/>
          <w:iCs/>
          <w:sz w:val="20"/>
          <w:lang w:val="el-GR" w:eastAsia="el-GR"/>
        </w:rPr>
        <w:t>.</w:t>
      </w:r>
    </w:p>
    <w:p w14:paraId="02B537F4" w14:textId="77777777" w:rsidR="00790980" w:rsidRPr="00790980" w:rsidRDefault="00790980" w:rsidP="00790980">
      <w:pPr>
        <w:spacing w:before="100" w:beforeAutospacing="1" w:after="100" w:afterAutospacing="1"/>
        <w:rPr>
          <w:rFonts w:ascii="Times New Roman" w:eastAsia="Times New Roman" w:hAnsi="Times New Roman"/>
          <w:b/>
          <w:bCs/>
          <w:sz w:val="20"/>
          <w:lang w:val="el-GR" w:eastAsia="el-GR"/>
        </w:rPr>
      </w:pPr>
    </w:p>
    <w:p w14:paraId="7EE1CBE1" w14:textId="71E4F1BF" w:rsidR="00790980" w:rsidRPr="00790980" w:rsidRDefault="00790980" w:rsidP="00790980">
      <w:pPr>
        <w:spacing w:before="100" w:beforeAutospacing="1" w:after="100" w:afterAutospacing="1"/>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Ισχυρή κερδοφόρα ανάπτυξη</w:t>
      </w:r>
    </w:p>
    <w:p w14:paraId="083F7A7A" w14:textId="2BD1BDB8" w:rsid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Οι καθαρές πωλήσεις ανήλθαν σε 3.520 εκατ. </w:t>
      </w:r>
      <w:r w:rsidRPr="007B1A77">
        <w:rPr>
          <w:rFonts w:ascii="Times New Roman" w:eastAsia="Times New Roman" w:hAnsi="Times New Roman"/>
          <w:szCs w:val="24"/>
          <w:lang w:eastAsia="el-GR"/>
        </w:rPr>
        <w:t>CHF</w:t>
      </w:r>
      <w:r w:rsidRPr="00790980">
        <w:rPr>
          <w:rFonts w:ascii="Times New Roman" w:eastAsia="Times New Roman" w:hAnsi="Times New Roman"/>
          <w:szCs w:val="24"/>
          <w:lang w:val="el-GR" w:eastAsia="el-GR"/>
        </w:rPr>
        <w:t xml:space="preserve">, σημειώνοντας οργανική αύξηση 3,9%, με επιτάχυνση της δυναμικής τον Μάρτιο. Τα επαναλαμβανόμενα </w:t>
      </w:r>
      <w:r w:rsidRPr="007B1A77">
        <w:rPr>
          <w:rFonts w:ascii="Times New Roman" w:eastAsia="Times New Roman" w:hAnsi="Times New Roman"/>
          <w:szCs w:val="24"/>
          <w:lang w:eastAsia="el-GR"/>
        </w:rPr>
        <w:t>EBIT</w:t>
      </w:r>
      <w:r w:rsidRPr="00790980">
        <w:rPr>
          <w:rFonts w:ascii="Times New Roman" w:eastAsia="Times New Roman" w:hAnsi="Times New Roman"/>
          <w:szCs w:val="24"/>
          <w:lang w:val="el-GR" w:eastAsia="el-GR"/>
        </w:rPr>
        <w:t xml:space="preserve"> αυξήθηκαν οργανικά κατά 8,3% στα 431 εκατ. </w:t>
      </w:r>
      <w:r w:rsidRPr="007B1A77">
        <w:rPr>
          <w:rFonts w:ascii="Times New Roman" w:eastAsia="Times New Roman" w:hAnsi="Times New Roman"/>
          <w:szCs w:val="24"/>
          <w:lang w:eastAsia="el-GR"/>
        </w:rPr>
        <w:t>CHF</w:t>
      </w:r>
      <w:r w:rsidRPr="00790980">
        <w:rPr>
          <w:rFonts w:ascii="Times New Roman" w:eastAsia="Times New Roman" w:hAnsi="Times New Roman"/>
          <w:szCs w:val="24"/>
          <w:lang w:val="el-GR" w:eastAsia="el-GR"/>
        </w:rPr>
        <w:t xml:space="preserve">. Το περιθώριο </w:t>
      </w:r>
      <w:r w:rsidRPr="007B1A77">
        <w:rPr>
          <w:rFonts w:ascii="Times New Roman" w:eastAsia="Times New Roman" w:hAnsi="Times New Roman"/>
          <w:szCs w:val="24"/>
          <w:lang w:eastAsia="el-GR"/>
        </w:rPr>
        <w:t>EBIT</w:t>
      </w:r>
      <w:r w:rsidRPr="00790980">
        <w:rPr>
          <w:rFonts w:ascii="Times New Roman" w:eastAsia="Times New Roman" w:hAnsi="Times New Roman"/>
          <w:szCs w:val="24"/>
          <w:lang w:val="el-GR" w:eastAsia="el-GR"/>
        </w:rPr>
        <w:t xml:space="preserve"> επηρεάστηκε από μεταβολές στο πεδίο δραστηριοτήτων κατά το Α’ τρίμηνο.</w:t>
      </w:r>
    </w:p>
    <w:p w14:paraId="090A3A49" w14:textId="39872537" w:rsidR="00790980" w:rsidRPr="00790980" w:rsidRDefault="00790980" w:rsidP="00790980">
      <w:pPr>
        <w:spacing w:before="100" w:beforeAutospacing="1" w:after="100" w:afterAutospacing="1"/>
        <w:rPr>
          <w:rFonts w:ascii="Times New Roman" w:eastAsia="Times New Roman" w:hAnsi="Times New Roman"/>
          <w:b/>
          <w:bCs/>
          <w:szCs w:val="24"/>
          <w:lang w:val="el-GR" w:eastAsia="el-GR"/>
        </w:rPr>
      </w:pPr>
      <w:proofErr w:type="spellStart"/>
      <w:r w:rsidRPr="00790980">
        <w:rPr>
          <w:rFonts w:ascii="Times New Roman" w:eastAsia="Times New Roman" w:hAnsi="Times New Roman"/>
          <w:b/>
          <w:bCs/>
          <w:szCs w:val="24"/>
          <w:lang w:val="el-GR" w:eastAsia="el-GR"/>
        </w:rPr>
        <w:t>Στοχευμένες</w:t>
      </w:r>
      <w:proofErr w:type="spellEnd"/>
      <w:r w:rsidRPr="00790980">
        <w:rPr>
          <w:rFonts w:ascii="Times New Roman" w:eastAsia="Times New Roman" w:hAnsi="Times New Roman"/>
          <w:b/>
          <w:bCs/>
          <w:szCs w:val="24"/>
          <w:lang w:val="el-GR" w:eastAsia="el-GR"/>
        </w:rPr>
        <w:t xml:space="preserve"> επενδύσεις σε ελκυστικές αγορές</w:t>
      </w:r>
    </w:p>
    <w:p w14:paraId="22A60127" w14:textId="19C3D68A"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Η </w:t>
      </w:r>
      <w:r w:rsidRPr="007B1A77">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συνεχίζει να επενδύει σε αγορές υψηλής δυναμικής </w:t>
      </w:r>
      <w:r w:rsidRPr="00790980">
        <w:rPr>
          <w:lang w:val="el-GR"/>
        </w:rPr>
        <w:t>και ολοκλήρωσε πέντε συμφωνίες που δημιουργούν αξία κατά το πρώτο τρίμηνο</w:t>
      </w:r>
      <w:r w:rsidRPr="00790980">
        <w:rPr>
          <w:rFonts w:ascii="Times New Roman" w:eastAsia="Times New Roman" w:hAnsi="Times New Roman"/>
          <w:szCs w:val="24"/>
          <w:lang w:val="el-GR" w:eastAsia="el-GR"/>
        </w:rPr>
        <w:t>.</w:t>
      </w:r>
    </w:p>
    <w:p w14:paraId="5586F0F6"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Για την ενίσχυση του τομέα “</w:t>
      </w:r>
      <w:r w:rsidRPr="00FA1469">
        <w:rPr>
          <w:rFonts w:ascii="Times New Roman" w:eastAsia="Times New Roman" w:hAnsi="Times New Roman"/>
          <w:b/>
          <w:bCs/>
          <w:szCs w:val="24"/>
          <w:lang w:eastAsia="el-GR"/>
        </w:rPr>
        <w:t>Building</w:t>
      </w:r>
      <w:r w:rsidRPr="00FA1469">
        <w:rPr>
          <w:rFonts w:ascii="Times New Roman" w:eastAsia="Times New Roman" w:hAnsi="Times New Roman"/>
          <w:b/>
          <w:bCs/>
          <w:szCs w:val="24"/>
          <w:lang w:val="el-GR" w:eastAsia="el-GR"/>
        </w:rPr>
        <w:t xml:space="preserve"> </w:t>
      </w:r>
      <w:r w:rsidRPr="00FA1469">
        <w:rPr>
          <w:rFonts w:ascii="Times New Roman" w:eastAsia="Times New Roman" w:hAnsi="Times New Roman"/>
          <w:b/>
          <w:bCs/>
          <w:szCs w:val="24"/>
          <w:lang w:eastAsia="el-GR"/>
        </w:rPr>
        <w:t>Materials</w:t>
      </w:r>
      <w:r w:rsidRPr="00790980">
        <w:rPr>
          <w:rFonts w:ascii="Times New Roman" w:eastAsia="Times New Roman" w:hAnsi="Times New Roman"/>
          <w:szCs w:val="24"/>
          <w:lang w:val="el-GR" w:eastAsia="el-GR"/>
        </w:rPr>
        <w:t xml:space="preserve">”, η </w:t>
      </w:r>
      <w:r w:rsidRPr="00AD38D4">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ολοκλήρωσε την εξαγορά πλειοψηφικού πακέτου στην </w:t>
      </w:r>
      <w:proofErr w:type="spellStart"/>
      <w:r w:rsidRPr="00AD38D4">
        <w:rPr>
          <w:rFonts w:ascii="Times New Roman" w:eastAsia="Times New Roman" w:hAnsi="Times New Roman"/>
          <w:szCs w:val="24"/>
          <w:lang w:eastAsia="el-GR"/>
        </w:rPr>
        <w:t>Cementos</w:t>
      </w:r>
      <w:proofErr w:type="spellEnd"/>
      <w:r w:rsidRPr="00790980">
        <w:rPr>
          <w:rFonts w:ascii="Times New Roman" w:eastAsia="Times New Roman" w:hAnsi="Times New Roman"/>
          <w:szCs w:val="24"/>
          <w:lang w:val="el-GR" w:eastAsia="el-GR"/>
        </w:rPr>
        <w:t xml:space="preserve"> </w:t>
      </w:r>
      <w:proofErr w:type="spellStart"/>
      <w:r w:rsidRPr="00AD38D4">
        <w:rPr>
          <w:rFonts w:ascii="Times New Roman" w:eastAsia="Times New Roman" w:hAnsi="Times New Roman"/>
          <w:szCs w:val="24"/>
          <w:lang w:eastAsia="el-GR"/>
        </w:rPr>
        <w:t>Pacasmayo</w:t>
      </w:r>
      <w:proofErr w:type="spellEnd"/>
      <w:r w:rsidRPr="00790980">
        <w:rPr>
          <w:rFonts w:ascii="Times New Roman" w:eastAsia="Times New Roman" w:hAnsi="Times New Roman"/>
          <w:szCs w:val="24"/>
          <w:lang w:val="el-GR" w:eastAsia="el-GR"/>
        </w:rPr>
        <w:t xml:space="preserve">, κορυφαίου παραγωγού δομικών υλικών στο Περού, με καθαρές πωλήσεις ύψους 594 εκατ. δολαρίων ΗΠΑ για το 2025. Παράλληλα, προχώρησε στην εξαγορά της </w:t>
      </w:r>
      <w:r w:rsidRPr="00AD38D4">
        <w:rPr>
          <w:rFonts w:ascii="Times New Roman" w:eastAsia="Times New Roman" w:hAnsi="Times New Roman"/>
          <w:szCs w:val="24"/>
          <w:lang w:eastAsia="el-GR"/>
        </w:rPr>
        <w:t>Uranus</w:t>
      </w:r>
      <w:r w:rsidRPr="00790980">
        <w:rPr>
          <w:rFonts w:ascii="Times New Roman" w:eastAsia="Times New Roman" w:hAnsi="Times New Roman"/>
          <w:szCs w:val="24"/>
          <w:lang w:val="el-GR" w:eastAsia="el-GR"/>
        </w:rPr>
        <w:t xml:space="preserve"> </w:t>
      </w:r>
      <w:r w:rsidRPr="00AD38D4">
        <w:rPr>
          <w:rFonts w:ascii="Times New Roman" w:eastAsia="Times New Roman" w:hAnsi="Times New Roman"/>
          <w:szCs w:val="24"/>
          <w:lang w:eastAsia="el-GR"/>
        </w:rPr>
        <w:t>Pluton</w:t>
      </w:r>
      <w:r w:rsidRPr="00790980">
        <w:rPr>
          <w:rFonts w:ascii="Times New Roman" w:eastAsia="Times New Roman" w:hAnsi="Times New Roman"/>
          <w:szCs w:val="24"/>
          <w:lang w:val="el-GR" w:eastAsia="el-GR"/>
        </w:rPr>
        <w:t xml:space="preserve"> </w:t>
      </w:r>
      <w:r w:rsidRPr="00AD38D4">
        <w:rPr>
          <w:rFonts w:ascii="Times New Roman" w:eastAsia="Times New Roman" w:hAnsi="Times New Roman"/>
          <w:szCs w:val="24"/>
          <w:lang w:eastAsia="el-GR"/>
        </w:rPr>
        <w:t>SRL</w:t>
      </w:r>
      <w:r w:rsidRPr="00790980">
        <w:rPr>
          <w:rFonts w:ascii="Times New Roman" w:eastAsia="Times New Roman" w:hAnsi="Times New Roman"/>
          <w:szCs w:val="24"/>
          <w:lang w:val="el-GR" w:eastAsia="el-GR"/>
        </w:rPr>
        <w:t xml:space="preserve"> στη Ρουμανία.</w:t>
      </w:r>
    </w:p>
    <w:p w14:paraId="34D6E542"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Ο τομέας “</w:t>
      </w:r>
      <w:r w:rsidRPr="00FA1469">
        <w:rPr>
          <w:rFonts w:ascii="Times New Roman" w:eastAsia="Times New Roman" w:hAnsi="Times New Roman"/>
          <w:b/>
          <w:bCs/>
          <w:szCs w:val="24"/>
          <w:lang w:eastAsia="el-GR"/>
        </w:rPr>
        <w:t>Building</w:t>
      </w:r>
      <w:r w:rsidRPr="00FA1469">
        <w:rPr>
          <w:rFonts w:ascii="Times New Roman" w:eastAsia="Times New Roman" w:hAnsi="Times New Roman"/>
          <w:b/>
          <w:bCs/>
          <w:szCs w:val="24"/>
          <w:lang w:val="el-GR" w:eastAsia="el-GR"/>
        </w:rPr>
        <w:t xml:space="preserve"> </w:t>
      </w:r>
      <w:r w:rsidRPr="00FA1469">
        <w:rPr>
          <w:rFonts w:ascii="Times New Roman" w:eastAsia="Times New Roman" w:hAnsi="Times New Roman"/>
          <w:b/>
          <w:bCs/>
          <w:szCs w:val="24"/>
          <w:lang w:eastAsia="el-GR"/>
        </w:rPr>
        <w:t>Solutions</w:t>
      </w:r>
      <w:r w:rsidRPr="00790980">
        <w:rPr>
          <w:rFonts w:ascii="Times New Roman" w:eastAsia="Times New Roman" w:hAnsi="Times New Roman"/>
          <w:szCs w:val="24"/>
          <w:lang w:val="el-GR" w:eastAsia="el-GR"/>
        </w:rPr>
        <w:t xml:space="preserve">” ενισχύθηκε με δύο εξαγορές: της </w:t>
      </w:r>
      <w:r w:rsidRPr="00AD38D4">
        <w:rPr>
          <w:rFonts w:ascii="Times New Roman" w:eastAsia="Times New Roman" w:hAnsi="Times New Roman"/>
          <w:szCs w:val="24"/>
          <w:lang w:eastAsia="el-GR"/>
        </w:rPr>
        <w:t>Jacobs</w:t>
      </w:r>
      <w:r w:rsidRPr="00790980">
        <w:rPr>
          <w:rFonts w:ascii="Times New Roman" w:eastAsia="Times New Roman" w:hAnsi="Times New Roman"/>
          <w:szCs w:val="24"/>
          <w:lang w:val="el-GR" w:eastAsia="el-GR"/>
        </w:rPr>
        <w:t xml:space="preserve"> </w:t>
      </w:r>
      <w:r w:rsidRPr="00AD38D4">
        <w:rPr>
          <w:rFonts w:ascii="Times New Roman" w:eastAsia="Times New Roman" w:hAnsi="Times New Roman"/>
          <w:szCs w:val="24"/>
          <w:lang w:eastAsia="el-GR"/>
        </w:rPr>
        <w:t>NV</w:t>
      </w:r>
      <w:r w:rsidRPr="00790980">
        <w:rPr>
          <w:rFonts w:ascii="Times New Roman" w:eastAsia="Times New Roman" w:hAnsi="Times New Roman"/>
          <w:szCs w:val="24"/>
          <w:lang w:val="el-GR" w:eastAsia="el-GR"/>
        </w:rPr>
        <w:t xml:space="preserve"> στο Βέλγιο και της δραστηριότητας έτοιμου σκυροδέματος του </w:t>
      </w:r>
      <w:r w:rsidRPr="00AD38D4">
        <w:rPr>
          <w:rFonts w:ascii="Times New Roman" w:eastAsia="Times New Roman" w:hAnsi="Times New Roman"/>
          <w:szCs w:val="24"/>
          <w:lang w:eastAsia="el-GR"/>
        </w:rPr>
        <w:t>Stevenson</w:t>
      </w:r>
      <w:r w:rsidRPr="00790980">
        <w:rPr>
          <w:rFonts w:ascii="Times New Roman" w:eastAsia="Times New Roman" w:hAnsi="Times New Roman"/>
          <w:szCs w:val="24"/>
          <w:lang w:val="el-GR" w:eastAsia="el-GR"/>
        </w:rPr>
        <w:t xml:space="preserve"> </w:t>
      </w:r>
      <w:r w:rsidRPr="00AD38D4">
        <w:rPr>
          <w:rFonts w:ascii="Times New Roman" w:eastAsia="Times New Roman" w:hAnsi="Times New Roman"/>
          <w:szCs w:val="24"/>
          <w:lang w:eastAsia="el-GR"/>
        </w:rPr>
        <w:t>Group</w:t>
      </w:r>
      <w:r w:rsidRPr="00790980">
        <w:rPr>
          <w:rFonts w:ascii="Times New Roman" w:eastAsia="Times New Roman" w:hAnsi="Times New Roman"/>
          <w:szCs w:val="24"/>
          <w:lang w:val="el-GR" w:eastAsia="el-GR"/>
        </w:rPr>
        <w:t xml:space="preserve"> στη Νέα Ζηλανδία.</w:t>
      </w:r>
    </w:p>
    <w:p w14:paraId="3325F14A" w14:textId="1998E9B7" w:rsidR="00790980" w:rsidRPr="00790980" w:rsidRDefault="00FA1469" w:rsidP="00790980">
      <w:pPr>
        <w:spacing w:before="100" w:beforeAutospacing="1" w:after="100" w:afterAutospacing="1"/>
        <w:rPr>
          <w:rFonts w:ascii="Times New Roman" w:eastAsia="Times New Roman" w:hAnsi="Times New Roman"/>
          <w:szCs w:val="24"/>
          <w:lang w:val="el-GR" w:eastAsia="el-GR"/>
        </w:rPr>
      </w:pPr>
      <w:r>
        <w:rPr>
          <w:rFonts w:ascii="Times New Roman" w:eastAsia="Times New Roman" w:hAnsi="Times New Roman"/>
          <w:szCs w:val="24"/>
          <w:lang w:val="el-GR" w:eastAsia="el-GR"/>
        </w:rPr>
        <w:t>Ο</w:t>
      </w:r>
      <w:r w:rsidR="00790980" w:rsidRPr="00790980">
        <w:rPr>
          <w:rFonts w:ascii="Times New Roman" w:eastAsia="Times New Roman" w:hAnsi="Times New Roman"/>
          <w:szCs w:val="24"/>
          <w:lang w:val="el-GR" w:eastAsia="el-GR"/>
        </w:rPr>
        <w:t>λοκλήρωσε επίσης την εκποίηση των δραστηριοτήτων στον Λίβανο, οι οποίες περιλαμβάνουν δραστηριότητες στην Κύπρο.</w:t>
      </w:r>
    </w:p>
    <w:p w14:paraId="45A5CC4F" w14:textId="77777777" w:rsidR="00FA1469"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Τον Μάρτιο, η </w:t>
      </w:r>
      <w:r w:rsidRPr="00AD38D4">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υπέγραψε συμφωνία για την εξαγορά δραστηριοτήτων δομικών υλικών και λύσεων στην Κολομβία από τη </w:t>
      </w:r>
      <w:r w:rsidRPr="00AD38D4">
        <w:rPr>
          <w:rFonts w:ascii="Times New Roman" w:eastAsia="Times New Roman" w:hAnsi="Times New Roman"/>
          <w:szCs w:val="24"/>
          <w:lang w:eastAsia="el-GR"/>
        </w:rPr>
        <w:t>Cemex</w:t>
      </w:r>
      <w:r w:rsidRPr="00790980">
        <w:rPr>
          <w:rFonts w:ascii="Times New Roman" w:eastAsia="Times New Roman" w:hAnsi="Times New Roman"/>
          <w:szCs w:val="24"/>
          <w:lang w:val="el-GR" w:eastAsia="el-GR"/>
        </w:rPr>
        <w:t xml:space="preserve">, οι οποίες αντιστοιχούν σε εκτιμώμενες καθαρές πωλήσεις περίπου 360 εκατ. δολαρίων ΗΠΑ για το 2026. Η </w:t>
      </w:r>
    </w:p>
    <w:p w14:paraId="51A67554" w14:textId="1A4AE0FB"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lastRenderedPageBreak/>
        <w:t>συναλλαγή τελεί υπό τις συνήθεις προϋποθέσεις και τις απαιτούμενες κανονιστικές εγκρίσεις και αναμένεται να ολοκληρωθεί προς το τέλος του έτους.</w:t>
      </w:r>
    </w:p>
    <w:p w14:paraId="79F0025C" w14:textId="266CB9DB" w:rsidR="00790980" w:rsidRPr="00790980" w:rsidRDefault="00790980" w:rsidP="00790980">
      <w:pPr>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Η βιωσιμότητα ως μοχλός ανάπτυξης</w:t>
      </w:r>
    </w:p>
    <w:p w14:paraId="5ABE2194"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Η ζήτηση των πελατών για το βιώσιμο χαρτοφυλάκιο προϊόντων της </w:t>
      </w:r>
      <w:r w:rsidRPr="00AD38D4">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συνέχισε να αυξάνεται. Κατά το πρώτο τρίμηνο του 2026, οι καθαρές πωλήσεις του σκυροδέματος χαμηλού ανθρακικού αποτυπώματος </w:t>
      </w:r>
      <w:r w:rsidRPr="00AD38D4">
        <w:rPr>
          <w:rFonts w:ascii="Times New Roman" w:eastAsia="Times New Roman" w:hAnsi="Times New Roman"/>
          <w:szCs w:val="24"/>
          <w:lang w:eastAsia="el-GR"/>
        </w:rPr>
        <w:t>ECOPact</w:t>
      </w:r>
      <w:r w:rsidRPr="00790980">
        <w:rPr>
          <w:rFonts w:ascii="Times New Roman" w:eastAsia="Times New Roman" w:hAnsi="Times New Roman"/>
          <w:szCs w:val="24"/>
          <w:lang w:val="el-GR" w:eastAsia="el-GR"/>
        </w:rPr>
        <w:t xml:space="preserve"> ανήλθαν στο 31% των συνολικών πωλήσεων έτοιμου σκυροδέματος, έναντι 29%¹ την αντίστοιχη περίοδο του προηγούμενου έτους, ενώ οι καθαρές πωλήσεις του </w:t>
      </w:r>
      <w:r w:rsidRPr="00AD38D4">
        <w:rPr>
          <w:rFonts w:ascii="Times New Roman" w:eastAsia="Times New Roman" w:hAnsi="Times New Roman"/>
          <w:szCs w:val="24"/>
          <w:lang w:eastAsia="el-GR"/>
        </w:rPr>
        <w:t>ECOPlanet</w:t>
      </w:r>
      <w:r w:rsidRPr="00790980">
        <w:rPr>
          <w:rFonts w:ascii="Times New Roman" w:eastAsia="Times New Roman" w:hAnsi="Times New Roman"/>
          <w:szCs w:val="24"/>
          <w:lang w:val="el-GR" w:eastAsia="el-GR"/>
        </w:rPr>
        <w:t xml:space="preserve"> διαμορφώθηκαν στο 39% των πωλήσεων τσιμέντου, έναντι 35%¹ το πρώτο τρίμηνο του 2025.</w:t>
      </w:r>
    </w:p>
    <w:p w14:paraId="4B1B0847"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Ενισχύοντας την εφαρμογή της κυκλικής τεχνολογίας κατασκευών </w:t>
      </w:r>
      <w:proofErr w:type="spellStart"/>
      <w:r w:rsidRPr="00AD38D4">
        <w:rPr>
          <w:rFonts w:ascii="Times New Roman" w:eastAsia="Times New Roman" w:hAnsi="Times New Roman"/>
          <w:szCs w:val="24"/>
          <w:lang w:eastAsia="el-GR"/>
        </w:rPr>
        <w:t>ECOCycle</w:t>
      </w:r>
      <w:proofErr w:type="spellEnd"/>
      <w:r w:rsidRPr="00790980">
        <w:rPr>
          <w:rFonts w:ascii="Times New Roman" w:eastAsia="Times New Roman" w:hAnsi="Times New Roman"/>
          <w:szCs w:val="24"/>
          <w:lang w:val="el-GR" w:eastAsia="el-GR"/>
        </w:rPr>
        <w:t xml:space="preserve">, η </w:t>
      </w:r>
      <w:r w:rsidRPr="00AD38D4">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αύξησε τον όγκο των ανακυκλωμένων υλικών εκσκαφών και κατεδαφίσεων κατά 24%¹ σε σύγκριση με την αντίστοιχη περίοδο του προηγούμενου έτους.</w:t>
      </w:r>
    </w:p>
    <w:p w14:paraId="671959A4" w14:textId="77777777" w:rsidR="00790980" w:rsidRPr="00FA1469" w:rsidRDefault="00790980" w:rsidP="00790980">
      <w:pPr>
        <w:spacing w:before="100" w:beforeAutospacing="1" w:after="100" w:afterAutospacing="1"/>
        <w:rPr>
          <w:rFonts w:ascii="Times New Roman" w:eastAsia="Times New Roman" w:hAnsi="Times New Roman"/>
          <w:sz w:val="20"/>
          <w:lang w:val="el-GR" w:eastAsia="el-GR"/>
        </w:rPr>
      </w:pPr>
      <w:r w:rsidRPr="00FA1469">
        <w:rPr>
          <w:rFonts w:ascii="Times New Roman" w:eastAsia="Times New Roman" w:hAnsi="Times New Roman"/>
          <w:i/>
          <w:iCs/>
          <w:sz w:val="20"/>
          <w:lang w:val="el-GR" w:eastAsia="el-GR"/>
        </w:rPr>
        <w:t>¹ Τα στοιχεία του Α’ τριμήνου 2025 έχουν αναπροσαρμοστεί λόγω δραστηριοτήτων σε παύση και άλλων ουσιωδών αλλαγών στο πεδίο ενοποίησης</w:t>
      </w:r>
      <w:r w:rsidRPr="00FA1469">
        <w:rPr>
          <w:rFonts w:ascii="Times New Roman" w:eastAsia="Times New Roman" w:hAnsi="Times New Roman"/>
          <w:sz w:val="20"/>
          <w:lang w:val="el-GR" w:eastAsia="el-GR"/>
        </w:rPr>
        <w:t>.</w:t>
      </w:r>
    </w:p>
    <w:p w14:paraId="5290DE37" w14:textId="77777777" w:rsidR="00790980" w:rsidRPr="00790980" w:rsidRDefault="00790980" w:rsidP="00790980">
      <w:pPr>
        <w:rPr>
          <w:rFonts w:ascii="Times New Roman" w:eastAsia="Times New Roman" w:hAnsi="Times New Roman"/>
          <w:szCs w:val="24"/>
          <w:lang w:val="el-GR" w:eastAsia="el-GR"/>
        </w:rPr>
      </w:pPr>
    </w:p>
    <w:p w14:paraId="5BB8E81B" w14:textId="2785BDB6" w:rsidR="00790980" w:rsidRPr="00790980" w:rsidRDefault="00790980" w:rsidP="00790980">
      <w:pPr>
        <w:spacing w:before="100" w:beforeAutospacing="1" w:after="100" w:afterAutospacing="1"/>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Η Τεχνητή Νοημοσύνη ως στρατηγικός επιταχυντής δημιουργίας πρόσθετης αξίας</w:t>
      </w:r>
    </w:p>
    <w:p w14:paraId="7DE6A751" w14:textId="6CB851B8"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Η Τεχνητή Νοημοσύνη (</w:t>
      </w:r>
      <w:r w:rsidR="00FA1469">
        <w:rPr>
          <w:rFonts w:ascii="Times New Roman" w:eastAsia="Times New Roman" w:hAnsi="Times New Roman"/>
          <w:szCs w:val="24"/>
          <w:lang w:val="el-GR" w:eastAsia="el-GR"/>
        </w:rPr>
        <w:t>ΤΝ</w:t>
      </w:r>
      <w:r w:rsidRPr="00790980">
        <w:rPr>
          <w:rFonts w:ascii="Times New Roman" w:eastAsia="Times New Roman" w:hAnsi="Times New Roman"/>
          <w:szCs w:val="24"/>
          <w:lang w:val="el-GR" w:eastAsia="el-GR"/>
        </w:rPr>
        <w:t xml:space="preserve">) αποτελεί στρατηγικό επιταχυντή δημιουργίας πρόσθετης αξίας για τη </w:t>
      </w:r>
      <w:r w:rsidRPr="00AD38D4">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βελτιώνοντας την απόδοση και ενισχύοντας τις </w:t>
      </w:r>
      <w:proofErr w:type="spellStart"/>
      <w:r w:rsidRPr="00790980">
        <w:rPr>
          <w:rFonts w:ascii="Times New Roman" w:eastAsia="Times New Roman" w:hAnsi="Times New Roman"/>
          <w:szCs w:val="24"/>
          <w:lang w:val="el-GR" w:eastAsia="el-GR"/>
        </w:rPr>
        <w:t>πελατοκεντρικές</w:t>
      </w:r>
      <w:proofErr w:type="spellEnd"/>
      <w:r w:rsidRPr="00790980">
        <w:rPr>
          <w:rFonts w:ascii="Times New Roman" w:eastAsia="Times New Roman" w:hAnsi="Times New Roman"/>
          <w:szCs w:val="24"/>
          <w:lang w:val="el-GR" w:eastAsia="el-GR"/>
        </w:rPr>
        <w:t xml:space="preserve"> υπηρεσίες.</w:t>
      </w:r>
    </w:p>
    <w:p w14:paraId="14ADDAEB"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Η </w:t>
      </w:r>
      <w:r w:rsidRPr="00AD38D4">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στοχεύει σε οφέλη ύψους 200 εκατ. </w:t>
      </w:r>
      <w:r w:rsidRPr="00AD38D4">
        <w:rPr>
          <w:rFonts w:ascii="Times New Roman" w:eastAsia="Times New Roman" w:hAnsi="Times New Roman"/>
          <w:szCs w:val="24"/>
          <w:lang w:eastAsia="el-GR"/>
        </w:rPr>
        <w:t>CHF</w:t>
      </w:r>
      <w:r w:rsidRPr="00790980">
        <w:rPr>
          <w:rFonts w:ascii="Times New Roman" w:eastAsia="Times New Roman" w:hAnsi="Times New Roman"/>
          <w:szCs w:val="24"/>
          <w:lang w:val="el-GR" w:eastAsia="el-GR"/>
        </w:rPr>
        <w:t xml:space="preserve"> στα επαναλαμβανόμενα </w:t>
      </w:r>
      <w:r w:rsidRPr="00AD38D4">
        <w:rPr>
          <w:rFonts w:ascii="Times New Roman" w:eastAsia="Times New Roman" w:hAnsi="Times New Roman"/>
          <w:szCs w:val="24"/>
          <w:lang w:eastAsia="el-GR"/>
        </w:rPr>
        <w:t>EBIT</w:t>
      </w:r>
      <w:r w:rsidRPr="00790980">
        <w:rPr>
          <w:rFonts w:ascii="Times New Roman" w:eastAsia="Times New Roman" w:hAnsi="Times New Roman"/>
          <w:szCs w:val="24"/>
          <w:lang w:val="el-GR" w:eastAsia="el-GR"/>
        </w:rPr>
        <w:t xml:space="preserve"> από την αξιοποίηση της ΤΝ έως το 2028, προερχόμενα τόσο από αποφυγή κόστους όσο και από εξοικονομήσεις. Για τον σκοπό αυτό, προβλέπονται επενδύσεις ανάπτυξης ύψους περίπου 20 εκατ. </w:t>
      </w:r>
      <w:r w:rsidRPr="00AD38D4">
        <w:rPr>
          <w:rFonts w:ascii="Times New Roman" w:eastAsia="Times New Roman" w:hAnsi="Times New Roman"/>
          <w:szCs w:val="24"/>
          <w:lang w:eastAsia="el-GR"/>
        </w:rPr>
        <w:t>CHF</w:t>
      </w:r>
      <w:r w:rsidRPr="00790980">
        <w:rPr>
          <w:rFonts w:ascii="Times New Roman" w:eastAsia="Times New Roman" w:hAnsi="Times New Roman"/>
          <w:szCs w:val="24"/>
          <w:lang w:val="el-GR" w:eastAsia="el-GR"/>
        </w:rPr>
        <w:t xml:space="preserve"> ετησίως σε τέσσερις βασικούς τομείς: παραγωγή, </w:t>
      </w:r>
      <w:r w:rsidRPr="00AD38D4">
        <w:rPr>
          <w:rFonts w:ascii="Times New Roman" w:eastAsia="Times New Roman" w:hAnsi="Times New Roman"/>
          <w:szCs w:val="24"/>
          <w:lang w:eastAsia="el-GR"/>
        </w:rPr>
        <w:t>logistics</w:t>
      </w:r>
      <w:r w:rsidRPr="00790980">
        <w:rPr>
          <w:rFonts w:ascii="Times New Roman" w:eastAsia="Times New Roman" w:hAnsi="Times New Roman"/>
          <w:szCs w:val="24"/>
          <w:lang w:val="el-GR" w:eastAsia="el-GR"/>
        </w:rPr>
        <w:t>, εμπορική λειτουργία και διοίκηση.</w:t>
      </w:r>
    </w:p>
    <w:p w14:paraId="6CB43306"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Συνολικά, υλοποιούνται 38 πρωτοβουλίες μεγάλης κλίμακας που αξιοποιούν την ΤΝ σε όλο τον Όμιλο </w:t>
      </w:r>
      <w:r w:rsidRPr="00AD38D4">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μεταξύ των οποίων:</w:t>
      </w:r>
    </w:p>
    <w:p w14:paraId="58165C39" w14:textId="754091D1" w:rsidR="00790980" w:rsidRPr="00790980" w:rsidRDefault="00790980" w:rsidP="00790980">
      <w:pPr>
        <w:numPr>
          <w:ilvl w:val="0"/>
          <w:numId w:val="9"/>
        </w:numPr>
        <w:spacing w:before="100" w:beforeAutospacing="1" w:after="100" w:afterAutospacing="1"/>
        <w:rPr>
          <w:rFonts w:ascii="Times New Roman" w:eastAsia="Times New Roman" w:hAnsi="Times New Roman"/>
          <w:szCs w:val="24"/>
          <w:lang w:val="el-GR" w:eastAsia="el-GR"/>
        </w:rPr>
      </w:pPr>
      <w:r w:rsidRPr="00AD38D4">
        <w:rPr>
          <w:rFonts w:ascii="Times New Roman" w:eastAsia="Times New Roman" w:hAnsi="Times New Roman"/>
          <w:b/>
          <w:bCs/>
          <w:szCs w:val="24"/>
          <w:lang w:eastAsia="el-GR"/>
        </w:rPr>
        <w:t>Holcim</w:t>
      </w:r>
      <w:r w:rsidRPr="00790980">
        <w:rPr>
          <w:rFonts w:ascii="Times New Roman" w:eastAsia="Times New Roman" w:hAnsi="Times New Roman"/>
          <w:b/>
          <w:bCs/>
          <w:szCs w:val="24"/>
          <w:lang w:val="el-GR" w:eastAsia="el-GR"/>
        </w:rPr>
        <w:t xml:space="preserve"> </w:t>
      </w:r>
      <w:r w:rsidRPr="00AD38D4">
        <w:rPr>
          <w:rFonts w:ascii="Times New Roman" w:eastAsia="Times New Roman" w:hAnsi="Times New Roman"/>
          <w:b/>
          <w:bCs/>
          <w:szCs w:val="24"/>
          <w:lang w:eastAsia="el-GR"/>
        </w:rPr>
        <w:t>M</w:t>
      </w:r>
      <w:r w:rsidRPr="00790980">
        <w:rPr>
          <w:rFonts w:ascii="Times New Roman" w:eastAsia="Times New Roman" w:hAnsi="Times New Roman"/>
          <w:b/>
          <w:bCs/>
          <w:szCs w:val="24"/>
          <w:lang w:val="el-GR" w:eastAsia="el-GR"/>
        </w:rPr>
        <w:t>-</w:t>
      </w:r>
      <w:r w:rsidRPr="00AD38D4">
        <w:rPr>
          <w:rFonts w:ascii="Times New Roman" w:eastAsia="Times New Roman" w:hAnsi="Times New Roman"/>
          <w:b/>
          <w:bCs/>
          <w:szCs w:val="24"/>
          <w:lang w:eastAsia="el-GR"/>
        </w:rPr>
        <w:t>Predict</w:t>
      </w:r>
      <w:r w:rsidRPr="00790980">
        <w:rPr>
          <w:rFonts w:ascii="Times New Roman" w:eastAsia="Times New Roman" w:hAnsi="Times New Roman"/>
          <w:szCs w:val="24"/>
          <w:lang w:val="el-GR" w:eastAsia="el-GR"/>
        </w:rPr>
        <w:t xml:space="preserve">: Μοντέλα προγνωστικής ανάλυσης με χρήση </w:t>
      </w:r>
      <w:r w:rsidR="00FA1469">
        <w:rPr>
          <w:rFonts w:ascii="Times New Roman" w:eastAsia="Times New Roman" w:hAnsi="Times New Roman"/>
          <w:szCs w:val="24"/>
          <w:lang w:val="el-GR" w:eastAsia="el-GR"/>
        </w:rPr>
        <w:t>ΤΝ</w:t>
      </w:r>
      <w:r w:rsidRPr="00790980">
        <w:rPr>
          <w:rFonts w:ascii="Times New Roman" w:eastAsia="Times New Roman" w:hAnsi="Times New Roman"/>
          <w:szCs w:val="24"/>
          <w:lang w:val="el-GR" w:eastAsia="el-GR"/>
        </w:rPr>
        <w:t xml:space="preserve"> για την απόδοση του εξοπλισμού, με στόχο τη βελτιστοποίηση της αποτελεσματικότητας συντήρησης </w:t>
      </w:r>
    </w:p>
    <w:p w14:paraId="6CDCD809" w14:textId="7B10BA90" w:rsidR="00790980" w:rsidRPr="00790980" w:rsidRDefault="00790980" w:rsidP="00790980">
      <w:pPr>
        <w:numPr>
          <w:ilvl w:val="0"/>
          <w:numId w:val="9"/>
        </w:numPr>
        <w:spacing w:before="100" w:beforeAutospacing="1" w:after="100" w:afterAutospacing="1"/>
        <w:rPr>
          <w:rFonts w:ascii="Times New Roman" w:eastAsia="Times New Roman" w:hAnsi="Times New Roman"/>
          <w:szCs w:val="24"/>
          <w:lang w:val="el-GR" w:eastAsia="el-GR"/>
        </w:rPr>
      </w:pPr>
      <w:r w:rsidRPr="00AD38D4">
        <w:rPr>
          <w:rFonts w:ascii="Times New Roman" w:eastAsia="Times New Roman" w:hAnsi="Times New Roman"/>
          <w:b/>
          <w:bCs/>
          <w:szCs w:val="24"/>
          <w:lang w:eastAsia="el-GR"/>
        </w:rPr>
        <w:t>Holcim</w:t>
      </w:r>
      <w:r w:rsidRPr="00790980">
        <w:rPr>
          <w:rFonts w:ascii="Times New Roman" w:eastAsia="Times New Roman" w:hAnsi="Times New Roman"/>
          <w:b/>
          <w:bCs/>
          <w:szCs w:val="24"/>
          <w:lang w:val="el-GR" w:eastAsia="el-GR"/>
        </w:rPr>
        <w:t xml:space="preserve"> </w:t>
      </w:r>
      <w:r w:rsidRPr="00AD38D4">
        <w:rPr>
          <w:rFonts w:ascii="Times New Roman" w:eastAsia="Times New Roman" w:hAnsi="Times New Roman"/>
          <w:b/>
          <w:bCs/>
          <w:szCs w:val="24"/>
          <w:lang w:eastAsia="el-GR"/>
        </w:rPr>
        <w:t>Foresight</w:t>
      </w:r>
      <w:r w:rsidRPr="00790980">
        <w:rPr>
          <w:rFonts w:ascii="Times New Roman" w:eastAsia="Times New Roman" w:hAnsi="Times New Roman"/>
          <w:szCs w:val="24"/>
          <w:lang w:val="el-GR" w:eastAsia="el-GR"/>
        </w:rPr>
        <w:t xml:space="preserve">: Μοντέλα πρόβλεψης με χρήση </w:t>
      </w:r>
      <w:r w:rsidR="00FA1469">
        <w:rPr>
          <w:rFonts w:ascii="Times New Roman" w:eastAsia="Times New Roman" w:hAnsi="Times New Roman"/>
          <w:szCs w:val="24"/>
          <w:lang w:val="el-GR" w:eastAsia="el-GR"/>
        </w:rPr>
        <w:t>ΤΝ</w:t>
      </w:r>
      <w:r w:rsidR="00FA1469" w:rsidRPr="00790980">
        <w:rPr>
          <w:rFonts w:ascii="Times New Roman" w:eastAsia="Times New Roman" w:hAnsi="Times New Roman"/>
          <w:szCs w:val="24"/>
          <w:lang w:val="el-GR" w:eastAsia="el-GR"/>
        </w:rPr>
        <w:t xml:space="preserve"> </w:t>
      </w:r>
      <w:r w:rsidRPr="00790980">
        <w:rPr>
          <w:rFonts w:ascii="Times New Roman" w:eastAsia="Times New Roman" w:hAnsi="Times New Roman"/>
          <w:szCs w:val="24"/>
          <w:lang w:val="el-GR" w:eastAsia="el-GR"/>
        </w:rPr>
        <w:t xml:space="preserve">για τη βελτιστοποίηση της αξιοποίησης στόλου και δικτύου </w:t>
      </w:r>
    </w:p>
    <w:p w14:paraId="6F58CF99" w14:textId="57646FFA" w:rsidR="00790980" w:rsidRPr="00790980" w:rsidRDefault="00790980" w:rsidP="00790980">
      <w:pPr>
        <w:numPr>
          <w:ilvl w:val="0"/>
          <w:numId w:val="9"/>
        </w:numPr>
        <w:spacing w:before="100" w:beforeAutospacing="1" w:after="100" w:afterAutospacing="1"/>
        <w:rPr>
          <w:rFonts w:ascii="Times New Roman" w:eastAsia="Times New Roman" w:hAnsi="Times New Roman"/>
          <w:szCs w:val="24"/>
          <w:lang w:val="el-GR" w:eastAsia="el-GR"/>
        </w:rPr>
      </w:pPr>
      <w:r w:rsidRPr="00AD38D4">
        <w:rPr>
          <w:rFonts w:ascii="Times New Roman" w:eastAsia="Times New Roman" w:hAnsi="Times New Roman"/>
          <w:b/>
          <w:bCs/>
          <w:szCs w:val="24"/>
          <w:lang w:eastAsia="el-GR"/>
        </w:rPr>
        <w:t>Holcim</w:t>
      </w:r>
      <w:r w:rsidRPr="00790980">
        <w:rPr>
          <w:rFonts w:ascii="Times New Roman" w:eastAsia="Times New Roman" w:hAnsi="Times New Roman"/>
          <w:b/>
          <w:bCs/>
          <w:szCs w:val="24"/>
          <w:lang w:val="el-GR" w:eastAsia="el-GR"/>
        </w:rPr>
        <w:t>+</w:t>
      </w:r>
      <w:r w:rsidRPr="00790980">
        <w:rPr>
          <w:rFonts w:ascii="Times New Roman" w:eastAsia="Times New Roman" w:hAnsi="Times New Roman"/>
          <w:szCs w:val="24"/>
          <w:lang w:val="el-GR" w:eastAsia="el-GR"/>
        </w:rPr>
        <w:t xml:space="preserve">: Ψηφιακή πλατφόρμα πελατών με χρήση </w:t>
      </w:r>
      <w:r w:rsidR="00FA1469">
        <w:rPr>
          <w:rFonts w:ascii="Times New Roman" w:eastAsia="Times New Roman" w:hAnsi="Times New Roman"/>
          <w:szCs w:val="24"/>
          <w:lang w:val="el-GR" w:eastAsia="el-GR"/>
        </w:rPr>
        <w:t>ΤΝ</w:t>
      </w:r>
      <w:r w:rsidRPr="00790980">
        <w:rPr>
          <w:rFonts w:ascii="Times New Roman" w:eastAsia="Times New Roman" w:hAnsi="Times New Roman"/>
          <w:szCs w:val="24"/>
          <w:lang w:val="el-GR" w:eastAsia="el-GR"/>
        </w:rPr>
        <w:t xml:space="preserve"> για ολοκληρωμένο προγραμματισμό, παραγγελία και παράδοση, με παρακολούθηση σε πραγματικό χρόνο, 24/7 </w:t>
      </w:r>
    </w:p>
    <w:p w14:paraId="3D210403" w14:textId="095D7918" w:rsidR="00790980" w:rsidRPr="00790980" w:rsidRDefault="00790980" w:rsidP="00790980">
      <w:pPr>
        <w:numPr>
          <w:ilvl w:val="0"/>
          <w:numId w:val="9"/>
        </w:numPr>
        <w:spacing w:before="100" w:beforeAutospacing="1" w:after="100" w:afterAutospacing="1"/>
        <w:rPr>
          <w:rFonts w:ascii="Times New Roman" w:eastAsia="Times New Roman" w:hAnsi="Times New Roman"/>
          <w:szCs w:val="24"/>
          <w:lang w:val="el-GR" w:eastAsia="el-GR"/>
        </w:rPr>
      </w:pPr>
      <w:r w:rsidRPr="00AD38D4">
        <w:rPr>
          <w:rFonts w:ascii="Times New Roman" w:eastAsia="Times New Roman" w:hAnsi="Times New Roman"/>
          <w:b/>
          <w:bCs/>
          <w:szCs w:val="24"/>
          <w:lang w:eastAsia="el-GR"/>
        </w:rPr>
        <w:t>Holcim</w:t>
      </w:r>
      <w:r w:rsidRPr="00790980">
        <w:rPr>
          <w:rFonts w:ascii="Times New Roman" w:eastAsia="Times New Roman" w:hAnsi="Times New Roman"/>
          <w:b/>
          <w:bCs/>
          <w:szCs w:val="24"/>
          <w:lang w:val="el-GR" w:eastAsia="el-GR"/>
        </w:rPr>
        <w:t xml:space="preserve"> </w:t>
      </w:r>
      <w:r w:rsidRPr="00AD38D4">
        <w:rPr>
          <w:rFonts w:ascii="Times New Roman" w:eastAsia="Times New Roman" w:hAnsi="Times New Roman"/>
          <w:b/>
          <w:bCs/>
          <w:szCs w:val="24"/>
          <w:lang w:eastAsia="el-GR"/>
        </w:rPr>
        <w:t>Career</w:t>
      </w:r>
      <w:r w:rsidRPr="00790980">
        <w:rPr>
          <w:rFonts w:ascii="Times New Roman" w:eastAsia="Times New Roman" w:hAnsi="Times New Roman"/>
          <w:b/>
          <w:bCs/>
          <w:szCs w:val="24"/>
          <w:lang w:val="el-GR" w:eastAsia="el-GR"/>
        </w:rPr>
        <w:t xml:space="preserve"> </w:t>
      </w:r>
      <w:r w:rsidRPr="00AD38D4">
        <w:rPr>
          <w:rFonts w:ascii="Times New Roman" w:eastAsia="Times New Roman" w:hAnsi="Times New Roman"/>
          <w:b/>
          <w:bCs/>
          <w:szCs w:val="24"/>
          <w:lang w:eastAsia="el-GR"/>
        </w:rPr>
        <w:t>Hub</w:t>
      </w:r>
      <w:r w:rsidRPr="00790980">
        <w:rPr>
          <w:rFonts w:ascii="Times New Roman" w:eastAsia="Times New Roman" w:hAnsi="Times New Roman"/>
          <w:szCs w:val="24"/>
          <w:lang w:val="el-GR" w:eastAsia="el-GR"/>
        </w:rPr>
        <w:t xml:space="preserve">: Εσωτερική πλατφόρμα με χρήση </w:t>
      </w:r>
      <w:r w:rsidR="00FA1469">
        <w:rPr>
          <w:rFonts w:ascii="Times New Roman" w:eastAsia="Times New Roman" w:hAnsi="Times New Roman"/>
          <w:szCs w:val="24"/>
          <w:lang w:val="el-GR" w:eastAsia="el-GR"/>
        </w:rPr>
        <w:t>ΤΝ</w:t>
      </w:r>
      <w:r w:rsidRPr="00790980">
        <w:rPr>
          <w:rFonts w:ascii="Times New Roman" w:eastAsia="Times New Roman" w:hAnsi="Times New Roman"/>
          <w:szCs w:val="24"/>
          <w:lang w:val="el-GR" w:eastAsia="el-GR"/>
        </w:rPr>
        <w:t xml:space="preserve"> που αντιστοιχίζει τους ανθρώπους της </w:t>
      </w:r>
      <w:r w:rsidRPr="00AD38D4">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με ευκαιρίες εντός του Ομίλου, δημιουργώντας αξία και ενισχύοντας την ανάπτυξη ταλέντου</w:t>
      </w:r>
    </w:p>
    <w:p w14:paraId="4BC24310" w14:textId="77777777" w:rsidR="00790980" w:rsidRDefault="00790980" w:rsidP="00790980">
      <w:pPr>
        <w:spacing w:before="100" w:beforeAutospacing="1" w:after="100" w:afterAutospacing="1"/>
        <w:rPr>
          <w:rFonts w:ascii="Times New Roman" w:eastAsia="Times New Roman" w:hAnsi="Times New Roman"/>
          <w:szCs w:val="24"/>
          <w:lang w:val="el-GR" w:eastAsia="el-GR"/>
        </w:rPr>
      </w:pPr>
    </w:p>
    <w:p w14:paraId="157AA831" w14:textId="1929375F" w:rsidR="00790980" w:rsidRPr="00790980" w:rsidRDefault="00790980" w:rsidP="00790980">
      <w:pPr>
        <w:spacing w:before="100" w:beforeAutospacing="1" w:after="100" w:afterAutospacing="1"/>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Καθοδήγηση 2026</w:t>
      </w:r>
    </w:p>
    <w:p w14:paraId="4366B98C" w14:textId="76938C4F"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Η στρατηγική </w:t>
      </w:r>
      <w:r w:rsidRPr="007B1A77">
        <w:rPr>
          <w:rFonts w:ascii="Times New Roman" w:eastAsia="Times New Roman" w:hAnsi="Times New Roman"/>
          <w:szCs w:val="24"/>
          <w:lang w:eastAsia="el-GR"/>
        </w:rPr>
        <w:t>NextGen</w:t>
      </w:r>
      <w:r w:rsidRPr="00790980">
        <w:rPr>
          <w:rFonts w:ascii="Times New Roman" w:eastAsia="Times New Roman" w:hAnsi="Times New Roman"/>
          <w:szCs w:val="24"/>
          <w:lang w:val="el-GR" w:eastAsia="el-GR"/>
        </w:rPr>
        <w:t xml:space="preserve"> </w:t>
      </w:r>
      <w:r w:rsidRPr="007B1A77">
        <w:rPr>
          <w:rFonts w:ascii="Times New Roman" w:eastAsia="Times New Roman" w:hAnsi="Times New Roman"/>
          <w:szCs w:val="24"/>
          <w:lang w:eastAsia="el-GR"/>
        </w:rPr>
        <w:t>Growth</w:t>
      </w:r>
      <w:r w:rsidRPr="00790980">
        <w:rPr>
          <w:rFonts w:ascii="Times New Roman" w:eastAsia="Times New Roman" w:hAnsi="Times New Roman"/>
          <w:szCs w:val="24"/>
          <w:lang w:val="el-GR" w:eastAsia="el-GR"/>
        </w:rPr>
        <w:t xml:space="preserve"> 2030 συνεχίζει να οδηγεί την ανάπτυξη:</w:t>
      </w:r>
    </w:p>
    <w:p w14:paraId="56E9038E" w14:textId="77777777" w:rsidR="00790980" w:rsidRPr="007B1A77" w:rsidRDefault="00790980" w:rsidP="00790980">
      <w:pPr>
        <w:numPr>
          <w:ilvl w:val="0"/>
          <w:numId w:val="8"/>
        </w:numPr>
        <w:spacing w:before="100" w:beforeAutospacing="1" w:after="100" w:afterAutospacing="1"/>
        <w:rPr>
          <w:rFonts w:ascii="Times New Roman" w:eastAsia="Times New Roman" w:hAnsi="Times New Roman"/>
          <w:szCs w:val="24"/>
          <w:lang w:eastAsia="el-GR"/>
        </w:rPr>
      </w:pPr>
      <w:r w:rsidRPr="007B1A77">
        <w:rPr>
          <w:rFonts w:ascii="Times New Roman" w:eastAsia="Times New Roman" w:hAnsi="Times New Roman"/>
          <w:szCs w:val="24"/>
          <w:lang w:eastAsia="el-GR"/>
        </w:rPr>
        <w:t xml:space="preserve">3% – 5% </w:t>
      </w:r>
      <w:proofErr w:type="spellStart"/>
      <w:r w:rsidRPr="007B1A77">
        <w:rPr>
          <w:rFonts w:ascii="Times New Roman" w:eastAsia="Times New Roman" w:hAnsi="Times New Roman"/>
          <w:szCs w:val="24"/>
          <w:lang w:eastAsia="el-GR"/>
        </w:rPr>
        <w:t>οργ</w:t>
      </w:r>
      <w:proofErr w:type="spellEnd"/>
      <w:r w:rsidRPr="007B1A77">
        <w:rPr>
          <w:rFonts w:ascii="Times New Roman" w:eastAsia="Times New Roman" w:hAnsi="Times New Roman"/>
          <w:szCs w:val="24"/>
          <w:lang w:eastAsia="el-GR"/>
        </w:rPr>
        <w:t>ανική α</w:t>
      </w:r>
      <w:proofErr w:type="spellStart"/>
      <w:r w:rsidRPr="007B1A77">
        <w:rPr>
          <w:rFonts w:ascii="Times New Roman" w:eastAsia="Times New Roman" w:hAnsi="Times New Roman"/>
          <w:szCs w:val="24"/>
          <w:lang w:eastAsia="el-GR"/>
        </w:rPr>
        <w:t>ύξηση</w:t>
      </w:r>
      <w:proofErr w:type="spellEnd"/>
      <w:r w:rsidRPr="007B1A77">
        <w:rPr>
          <w:rFonts w:ascii="Times New Roman" w:eastAsia="Times New Roman" w:hAnsi="Times New Roman"/>
          <w:szCs w:val="24"/>
          <w:lang w:eastAsia="el-GR"/>
        </w:rPr>
        <w:t xml:space="preserve"> π</w:t>
      </w:r>
      <w:proofErr w:type="spellStart"/>
      <w:r w:rsidRPr="007B1A77">
        <w:rPr>
          <w:rFonts w:ascii="Times New Roman" w:eastAsia="Times New Roman" w:hAnsi="Times New Roman"/>
          <w:szCs w:val="24"/>
          <w:lang w:eastAsia="el-GR"/>
        </w:rPr>
        <w:t>ωλήσεων</w:t>
      </w:r>
      <w:proofErr w:type="spellEnd"/>
      <w:r w:rsidRPr="007B1A77">
        <w:rPr>
          <w:rFonts w:ascii="Times New Roman" w:eastAsia="Times New Roman" w:hAnsi="Times New Roman"/>
          <w:szCs w:val="24"/>
          <w:lang w:eastAsia="el-GR"/>
        </w:rPr>
        <w:t xml:space="preserve"> </w:t>
      </w:r>
    </w:p>
    <w:p w14:paraId="443A344E" w14:textId="77777777" w:rsidR="00790980" w:rsidRPr="007B1A77" w:rsidRDefault="00790980" w:rsidP="00790980">
      <w:pPr>
        <w:numPr>
          <w:ilvl w:val="0"/>
          <w:numId w:val="8"/>
        </w:numPr>
        <w:spacing w:before="100" w:beforeAutospacing="1" w:after="100" w:afterAutospacing="1"/>
        <w:rPr>
          <w:rFonts w:ascii="Times New Roman" w:eastAsia="Times New Roman" w:hAnsi="Times New Roman"/>
          <w:szCs w:val="24"/>
          <w:lang w:eastAsia="el-GR"/>
        </w:rPr>
      </w:pPr>
      <w:r w:rsidRPr="007B1A77">
        <w:rPr>
          <w:rFonts w:ascii="Times New Roman" w:eastAsia="Times New Roman" w:hAnsi="Times New Roman"/>
          <w:szCs w:val="24"/>
          <w:lang w:eastAsia="el-GR"/>
        </w:rPr>
        <w:t>8% – 10% α</w:t>
      </w:r>
      <w:proofErr w:type="spellStart"/>
      <w:r w:rsidRPr="007B1A77">
        <w:rPr>
          <w:rFonts w:ascii="Times New Roman" w:eastAsia="Times New Roman" w:hAnsi="Times New Roman"/>
          <w:szCs w:val="24"/>
          <w:lang w:eastAsia="el-GR"/>
        </w:rPr>
        <w:t>ύξηση</w:t>
      </w:r>
      <w:proofErr w:type="spellEnd"/>
      <w:r w:rsidRPr="007B1A77">
        <w:rPr>
          <w:rFonts w:ascii="Times New Roman" w:eastAsia="Times New Roman" w:hAnsi="Times New Roman"/>
          <w:szCs w:val="24"/>
          <w:lang w:eastAsia="el-GR"/>
        </w:rPr>
        <w:t xml:space="preserve"> EBIT </w:t>
      </w:r>
    </w:p>
    <w:p w14:paraId="07F56663" w14:textId="77777777" w:rsidR="00790980" w:rsidRPr="007B1A77" w:rsidRDefault="00790980" w:rsidP="00790980">
      <w:pPr>
        <w:numPr>
          <w:ilvl w:val="0"/>
          <w:numId w:val="8"/>
        </w:numPr>
        <w:spacing w:before="100" w:beforeAutospacing="1" w:after="100" w:afterAutospacing="1"/>
        <w:rPr>
          <w:rFonts w:ascii="Times New Roman" w:eastAsia="Times New Roman" w:hAnsi="Times New Roman"/>
          <w:szCs w:val="24"/>
          <w:lang w:eastAsia="el-GR"/>
        </w:rPr>
      </w:pPr>
      <w:proofErr w:type="spellStart"/>
      <w:r w:rsidRPr="007B1A77">
        <w:rPr>
          <w:rFonts w:ascii="Times New Roman" w:eastAsia="Times New Roman" w:hAnsi="Times New Roman"/>
          <w:szCs w:val="24"/>
          <w:lang w:eastAsia="el-GR"/>
        </w:rPr>
        <w:t>Βελτίωση</w:t>
      </w:r>
      <w:proofErr w:type="spellEnd"/>
      <w:r w:rsidRPr="007B1A77">
        <w:rPr>
          <w:rFonts w:ascii="Times New Roman" w:eastAsia="Times New Roman" w:hAnsi="Times New Roman"/>
          <w:szCs w:val="24"/>
          <w:lang w:eastAsia="el-GR"/>
        </w:rPr>
        <w:t xml:space="preserve"> π</w:t>
      </w:r>
      <w:proofErr w:type="spellStart"/>
      <w:r w:rsidRPr="007B1A77">
        <w:rPr>
          <w:rFonts w:ascii="Times New Roman" w:eastAsia="Times New Roman" w:hAnsi="Times New Roman"/>
          <w:szCs w:val="24"/>
          <w:lang w:eastAsia="el-GR"/>
        </w:rPr>
        <w:t>εριθωρίου</w:t>
      </w:r>
      <w:proofErr w:type="spellEnd"/>
      <w:r w:rsidRPr="007B1A77">
        <w:rPr>
          <w:rFonts w:ascii="Times New Roman" w:eastAsia="Times New Roman" w:hAnsi="Times New Roman"/>
          <w:szCs w:val="24"/>
          <w:lang w:eastAsia="el-GR"/>
        </w:rPr>
        <w:t xml:space="preserve"> EBIT </w:t>
      </w:r>
    </w:p>
    <w:p w14:paraId="6C659378" w14:textId="77777777" w:rsidR="00790980" w:rsidRDefault="00790980" w:rsidP="00790980">
      <w:pPr>
        <w:numPr>
          <w:ilvl w:val="0"/>
          <w:numId w:val="8"/>
        </w:numPr>
        <w:spacing w:before="100" w:beforeAutospacing="1" w:after="100" w:afterAutospacing="1"/>
        <w:rPr>
          <w:rFonts w:ascii="Times New Roman" w:eastAsia="Times New Roman" w:hAnsi="Times New Roman"/>
          <w:szCs w:val="24"/>
          <w:lang w:eastAsia="el-GR"/>
        </w:rPr>
      </w:pPr>
      <w:proofErr w:type="spellStart"/>
      <w:r w:rsidRPr="007B1A77">
        <w:rPr>
          <w:rFonts w:ascii="Times New Roman" w:eastAsia="Times New Roman" w:hAnsi="Times New Roman"/>
          <w:szCs w:val="24"/>
          <w:lang w:eastAsia="el-GR"/>
        </w:rPr>
        <w:t>Ελεύθερες</w:t>
      </w:r>
      <w:proofErr w:type="spellEnd"/>
      <w:r w:rsidRPr="007B1A77">
        <w:rPr>
          <w:rFonts w:ascii="Times New Roman" w:eastAsia="Times New Roman" w:hAnsi="Times New Roman"/>
          <w:szCs w:val="24"/>
          <w:lang w:eastAsia="el-GR"/>
        </w:rPr>
        <w:t xml:space="preserve"> τα</w:t>
      </w:r>
      <w:proofErr w:type="spellStart"/>
      <w:r w:rsidRPr="007B1A77">
        <w:rPr>
          <w:rFonts w:ascii="Times New Roman" w:eastAsia="Times New Roman" w:hAnsi="Times New Roman"/>
          <w:szCs w:val="24"/>
          <w:lang w:eastAsia="el-GR"/>
        </w:rPr>
        <w:t>μει</w:t>
      </w:r>
      <w:proofErr w:type="spellEnd"/>
      <w:r w:rsidRPr="007B1A77">
        <w:rPr>
          <w:rFonts w:ascii="Times New Roman" w:eastAsia="Times New Roman" w:hAnsi="Times New Roman"/>
          <w:szCs w:val="24"/>
          <w:lang w:eastAsia="el-GR"/>
        </w:rPr>
        <w:t xml:space="preserve">ακές </w:t>
      </w:r>
      <w:proofErr w:type="spellStart"/>
      <w:r w:rsidRPr="007B1A77">
        <w:rPr>
          <w:rFonts w:ascii="Times New Roman" w:eastAsia="Times New Roman" w:hAnsi="Times New Roman"/>
          <w:szCs w:val="24"/>
          <w:lang w:eastAsia="el-GR"/>
        </w:rPr>
        <w:t>ροές</w:t>
      </w:r>
      <w:proofErr w:type="spellEnd"/>
      <w:r w:rsidRPr="007B1A77">
        <w:rPr>
          <w:rFonts w:ascii="Times New Roman" w:eastAsia="Times New Roman" w:hAnsi="Times New Roman"/>
          <w:szCs w:val="24"/>
          <w:lang w:eastAsia="el-GR"/>
        </w:rPr>
        <w:t xml:space="preserve"> ~2 </w:t>
      </w:r>
      <w:proofErr w:type="spellStart"/>
      <w:r w:rsidRPr="007B1A77">
        <w:rPr>
          <w:rFonts w:ascii="Times New Roman" w:eastAsia="Times New Roman" w:hAnsi="Times New Roman"/>
          <w:szCs w:val="24"/>
          <w:lang w:eastAsia="el-GR"/>
        </w:rPr>
        <w:t>δισ</w:t>
      </w:r>
      <w:proofErr w:type="spellEnd"/>
      <w:r w:rsidRPr="007B1A77">
        <w:rPr>
          <w:rFonts w:ascii="Times New Roman" w:eastAsia="Times New Roman" w:hAnsi="Times New Roman"/>
          <w:szCs w:val="24"/>
          <w:lang w:eastAsia="el-GR"/>
        </w:rPr>
        <w:t xml:space="preserve">. CHF </w:t>
      </w:r>
    </w:p>
    <w:p w14:paraId="5021F577" w14:textId="0E2166D1" w:rsidR="00790980" w:rsidRPr="00FA1469" w:rsidRDefault="00790980" w:rsidP="00790980">
      <w:pPr>
        <w:numPr>
          <w:ilvl w:val="0"/>
          <w:numId w:val="8"/>
        </w:numPr>
        <w:spacing w:before="100" w:beforeAutospacing="1" w:after="100" w:afterAutospacing="1"/>
        <w:rPr>
          <w:rFonts w:ascii="Times New Roman" w:eastAsia="Times New Roman" w:hAnsi="Times New Roman"/>
          <w:szCs w:val="24"/>
          <w:lang w:eastAsia="el-GR"/>
        </w:rPr>
      </w:pPr>
      <w:r w:rsidRPr="00627D72">
        <w:rPr>
          <w:rFonts w:ascii="Times New Roman" w:eastAsia="Times New Roman" w:hAnsi="Times New Roman"/>
          <w:szCs w:val="24"/>
          <w:lang w:eastAsia="el-GR"/>
        </w:rPr>
        <w:t>&gt;</w:t>
      </w:r>
      <w:r w:rsidRPr="007B1A77">
        <w:rPr>
          <w:rFonts w:ascii="Times New Roman" w:eastAsia="Times New Roman" w:hAnsi="Times New Roman"/>
          <w:szCs w:val="24"/>
          <w:lang w:eastAsia="el-GR"/>
        </w:rPr>
        <w:t>20% α</w:t>
      </w:r>
      <w:proofErr w:type="spellStart"/>
      <w:r w:rsidRPr="007B1A77">
        <w:rPr>
          <w:rFonts w:ascii="Times New Roman" w:eastAsia="Times New Roman" w:hAnsi="Times New Roman"/>
          <w:szCs w:val="24"/>
          <w:lang w:eastAsia="el-GR"/>
        </w:rPr>
        <w:t>ύξηση</w:t>
      </w:r>
      <w:proofErr w:type="spellEnd"/>
      <w:r w:rsidRPr="007B1A77">
        <w:rPr>
          <w:rFonts w:ascii="Times New Roman" w:eastAsia="Times New Roman" w:hAnsi="Times New Roman"/>
          <w:szCs w:val="24"/>
          <w:lang w:eastAsia="el-GR"/>
        </w:rPr>
        <w:t xml:space="preserve"> ανα</w:t>
      </w:r>
      <w:proofErr w:type="spellStart"/>
      <w:r w:rsidRPr="007B1A77">
        <w:rPr>
          <w:rFonts w:ascii="Times New Roman" w:eastAsia="Times New Roman" w:hAnsi="Times New Roman"/>
          <w:szCs w:val="24"/>
          <w:lang w:eastAsia="el-GR"/>
        </w:rPr>
        <w:t>κυκλωμένων</w:t>
      </w:r>
      <w:proofErr w:type="spellEnd"/>
      <w:r w:rsidRPr="007B1A77">
        <w:rPr>
          <w:rFonts w:ascii="Times New Roman" w:eastAsia="Times New Roman" w:hAnsi="Times New Roman"/>
          <w:szCs w:val="24"/>
          <w:lang w:eastAsia="el-GR"/>
        </w:rPr>
        <w:t xml:space="preserve"> </w:t>
      </w:r>
      <w:proofErr w:type="spellStart"/>
      <w:r w:rsidRPr="007B1A77">
        <w:rPr>
          <w:rFonts w:ascii="Times New Roman" w:eastAsia="Times New Roman" w:hAnsi="Times New Roman"/>
          <w:szCs w:val="24"/>
          <w:lang w:eastAsia="el-GR"/>
        </w:rPr>
        <w:t>υλικών</w:t>
      </w:r>
      <w:proofErr w:type="spellEnd"/>
    </w:p>
    <w:p w14:paraId="79ACEC99" w14:textId="39F000CD" w:rsidR="00790980" w:rsidRPr="00790980" w:rsidRDefault="00790980" w:rsidP="00790980">
      <w:pPr>
        <w:spacing w:before="100" w:beforeAutospacing="1" w:after="100" w:afterAutospacing="1"/>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Αποτελέσματα ανά δραστηριότητα</w:t>
      </w:r>
    </w:p>
    <w:p w14:paraId="4CCD3C49" w14:textId="2CA60F7D"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Οι δύο </w:t>
      </w:r>
      <w:proofErr w:type="spellStart"/>
      <w:r w:rsidRPr="00790980">
        <w:rPr>
          <w:rFonts w:ascii="Times New Roman" w:eastAsia="Times New Roman" w:hAnsi="Times New Roman"/>
          <w:szCs w:val="24"/>
          <w:lang w:val="el-GR" w:eastAsia="el-GR"/>
        </w:rPr>
        <w:t>πελατοκεντρικές</w:t>
      </w:r>
      <w:proofErr w:type="spellEnd"/>
      <w:r w:rsidRPr="00790980">
        <w:rPr>
          <w:rFonts w:ascii="Times New Roman" w:eastAsia="Times New Roman" w:hAnsi="Times New Roman"/>
          <w:szCs w:val="24"/>
          <w:lang w:val="el-GR" w:eastAsia="el-GR"/>
        </w:rPr>
        <w:t xml:space="preserve"> κατηγορίες προϊόντων της </w:t>
      </w:r>
      <w:r w:rsidRPr="00627D72">
        <w:rPr>
          <w:rFonts w:ascii="Times New Roman" w:eastAsia="Times New Roman" w:hAnsi="Times New Roman"/>
          <w:szCs w:val="24"/>
          <w:lang w:eastAsia="el-GR"/>
        </w:rPr>
        <w:t>Holcim</w:t>
      </w:r>
      <w:r w:rsidRPr="00790980">
        <w:rPr>
          <w:rFonts w:ascii="Times New Roman" w:eastAsia="Times New Roman" w:hAnsi="Times New Roman"/>
          <w:szCs w:val="24"/>
          <w:lang w:val="el-GR" w:eastAsia="el-GR"/>
        </w:rPr>
        <w:t xml:space="preserve"> είναι τα </w:t>
      </w:r>
      <w:r w:rsidRPr="00627D72">
        <w:rPr>
          <w:rFonts w:ascii="Times New Roman" w:eastAsia="Times New Roman" w:hAnsi="Times New Roman"/>
          <w:b/>
          <w:bCs/>
          <w:szCs w:val="24"/>
          <w:lang w:eastAsia="el-GR"/>
        </w:rPr>
        <w:t>Building</w:t>
      </w:r>
      <w:r w:rsidRPr="00790980">
        <w:rPr>
          <w:rFonts w:ascii="Times New Roman" w:eastAsia="Times New Roman" w:hAnsi="Times New Roman"/>
          <w:b/>
          <w:bCs/>
          <w:szCs w:val="24"/>
          <w:lang w:val="el-GR" w:eastAsia="el-GR"/>
        </w:rPr>
        <w:t xml:space="preserve"> </w:t>
      </w:r>
      <w:r w:rsidRPr="00627D72">
        <w:rPr>
          <w:rFonts w:ascii="Times New Roman" w:eastAsia="Times New Roman" w:hAnsi="Times New Roman"/>
          <w:b/>
          <w:bCs/>
          <w:szCs w:val="24"/>
          <w:lang w:eastAsia="el-GR"/>
        </w:rPr>
        <w:t>Materials</w:t>
      </w:r>
      <w:r w:rsidRPr="00790980">
        <w:rPr>
          <w:rFonts w:ascii="Times New Roman" w:eastAsia="Times New Roman" w:hAnsi="Times New Roman"/>
          <w:szCs w:val="24"/>
          <w:lang w:val="el-GR" w:eastAsia="el-GR"/>
        </w:rPr>
        <w:t xml:space="preserve"> και τα </w:t>
      </w:r>
      <w:r w:rsidRPr="00627D72">
        <w:rPr>
          <w:rFonts w:ascii="Times New Roman" w:eastAsia="Times New Roman" w:hAnsi="Times New Roman"/>
          <w:b/>
          <w:bCs/>
          <w:szCs w:val="24"/>
          <w:lang w:eastAsia="el-GR"/>
        </w:rPr>
        <w:t>Building</w:t>
      </w:r>
      <w:r w:rsidRPr="00790980">
        <w:rPr>
          <w:rFonts w:ascii="Times New Roman" w:eastAsia="Times New Roman" w:hAnsi="Times New Roman"/>
          <w:b/>
          <w:bCs/>
          <w:szCs w:val="24"/>
          <w:lang w:val="el-GR" w:eastAsia="el-GR"/>
        </w:rPr>
        <w:t xml:space="preserve"> </w:t>
      </w:r>
      <w:r w:rsidRPr="00627D72">
        <w:rPr>
          <w:rFonts w:ascii="Times New Roman" w:eastAsia="Times New Roman" w:hAnsi="Times New Roman"/>
          <w:b/>
          <w:bCs/>
          <w:szCs w:val="24"/>
          <w:lang w:eastAsia="el-GR"/>
        </w:rPr>
        <w:t>Solutions</w:t>
      </w:r>
      <w:r w:rsidRPr="00790980">
        <w:rPr>
          <w:rFonts w:ascii="Times New Roman" w:eastAsia="Times New Roman" w:hAnsi="Times New Roman"/>
          <w:szCs w:val="24"/>
          <w:lang w:val="el-GR" w:eastAsia="el-GR"/>
        </w:rPr>
        <w:t>, οι οποίες από κοινού προσφέρουν ολοκληρωμένες λύσεις— από θεμελιώσεις και δάπεδα έως τοιχοποιία και στέγες — καλύπτοντας το σύνολο του δομημένου περιβάλλοντος, από έργα υποδομών και εμπορικές εφαρμογές έως οικιστικά έργα.</w:t>
      </w:r>
    </w:p>
    <w:p w14:paraId="788E9AC7"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t xml:space="preserve">Ο τομέας </w:t>
      </w:r>
      <w:r w:rsidRPr="00627D72">
        <w:rPr>
          <w:rFonts w:ascii="Times New Roman" w:eastAsia="Times New Roman" w:hAnsi="Times New Roman"/>
          <w:b/>
          <w:bCs/>
          <w:szCs w:val="24"/>
          <w:lang w:eastAsia="el-GR"/>
        </w:rPr>
        <w:t>Building</w:t>
      </w:r>
      <w:r w:rsidRPr="00790980">
        <w:rPr>
          <w:rFonts w:ascii="Times New Roman" w:eastAsia="Times New Roman" w:hAnsi="Times New Roman"/>
          <w:b/>
          <w:bCs/>
          <w:szCs w:val="24"/>
          <w:lang w:val="el-GR" w:eastAsia="el-GR"/>
        </w:rPr>
        <w:t xml:space="preserve"> </w:t>
      </w:r>
      <w:r w:rsidRPr="00627D72">
        <w:rPr>
          <w:rFonts w:ascii="Times New Roman" w:eastAsia="Times New Roman" w:hAnsi="Times New Roman"/>
          <w:b/>
          <w:bCs/>
          <w:szCs w:val="24"/>
          <w:lang w:eastAsia="el-GR"/>
        </w:rPr>
        <w:t>Materials</w:t>
      </w:r>
      <w:r w:rsidRPr="00790980">
        <w:rPr>
          <w:rFonts w:ascii="Times New Roman" w:eastAsia="Times New Roman" w:hAnsi="Times New Roman"/>
          <w:szCs w:val="24"/>
          <w:lang w:val="el-GR" w:eastAsia="el-GR"/>
        </w:rPr>
        <w:t xml:space="preserve"> περιλαμβάνει ένα ευρύ φάσμα τσιμέντου και αδρανών υλικών, με έμφαση στο τσιμέντο χαμηλού ανθρακικού αποτυπώματος και στα κυκλικά αδρανή. Ο τομέας </w:t>
      </w:r>
      <w:r w:rsidRPr="00627D72">
        <w:rPr>
          <w:rFonts w:ascii="Times New Roman" w:eastAsia="Times New Roman" w:hAnsi="Times New Roman"/>
          <w:b/>
          <w:bCs/>
          <w:szCs w:val="24"/>
          <w:lang w:eastAsia="el-GR"/>
        </w:rPr>
        <w:t>Building</w:t>
      </w:r>
      <w:r w:rsidRPr="00790980">
        <w:rPr>
          <w:rFonts w:ascii="Times New Roman" w:eastAsia="Times New Roman" w:hAnsi="Times New Roman"/>
          <w:b/>
          <w:bCs/>
          <w:szCs w:val="24"/>
          <w:lang w:val="el-GR" w:eastAsia="el-GR"/>
        </w:rPr>
        <w:t xml:space="preserve"> </w:t>
      </w:r>
      <w:r w:rsidRPr="00627D72">
        <w:rPr>
          <w:rFonts w:ascii="Times New Roman" w:eastAsia="Times New Roman" w:hAnsi="Times New Roman"/>
          <w:b/>
          <w:bCs/>
          <w:szCs w:val="24"/>
          <w:lang w:eastAsia="el-GR"/>
        </w:rPr>
        <w:t>Solutions</w:t>
      </w:r>
      <w:r w:rsidRPr="00790980">
        <w:rPr>
          <w:rFonts w:ascii="Times New Roman" w:eastAsia="Times New Roman" w:hAnsi="Times New Roman"/>
          <w:szCs w:val="24"/>
          <w:lang w:val="el-GR" w:eastAsia="el-GR"/>
        </w:rPr>
        <w:t xml:space="preserve"> περιλαμβάνει ενεργειακά αποδοτικά δομικά συστήματα, καθώς και σκυρόδεμα υψηλών επιδόσεων και λύσεις επιφανειών.</w:t>
      </w:r>
    </w:p>
    <w:p w14:paraId="11D4B177" w14:textId="77777777" w:rsidR="00790980" w:rsidRPr="00790980" w:rsidRDefault="00790980" w:rsidP="00790980">
      <w:pPr>
        <w:spacing w:before="100" w:beforeAutospacing="1" w:after="100" w:afterAutospacing="1"/>
        <w:outlineLvl w:val="2"/>
        <w:rPr>
          <w:rFonts w:ascii="Times New Roman" w:eastAsia="Times New Roman" w:hAnsi="Times New Roman"/>
          <w:b/>
          <w:bCs/>
          <w:sz w:val="27"/>
          <w:szCs w:val="27"/>
          <w:lang w:val="el-GR" w:eastAsia="el-G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424"/>
        <w:gridCol w:w="679"/>
        <w:gridCol w:w="709"/>
        <w:gridCol w:w="851"/>
        <w:gridCol w:w="1275"/>
      </w:tblGrid>
      <w:tr w:rsidR="00790980" w:rsidRPr="007B1A77" w14:paraId="3D11C424" w14:textId="77777777" w:rsidTr="00534F2F">
        <w:trPr>
          <w:tblHeader/>
          <w:tblCellSpacing w:w="15" w:type="dxa"/>
        </w:trPr>
        <w:tc>
          <w:tcPr>
            <w:tcW w:w="4379" w:type="dxa"/>
            <w:vAlign w:val="center"/>
            <w:hideMark/>
          </w:tcPr>
          <w:p w14:paraId="27A8EEBC" w14:textId="77777777" w:rsidR="00790980" w:rsidRPr="00790980" w:rsidRDefault="00790980" w:rsidP="006B31D2">
            <w:pPr>
              <w:rPr>
                <w:rFonts w:ascii="Times New Roman" w:eastAsia="Times New Roman" w:hAnsi="Times New Roman"/>
                <w:szCs w:val="24"/>
                <w:lang w:val="el-GR" w:eastAsia="el-GR"/>
              </w:rPr>
            </w:pPr>
          </w:p>
        </w:tc>
        <w:tc>
          <w:tcPr>
            <w:tcW w:w="649" w:type="dxa"/>
            <w:vAlign w:val="center"/>
            <w:hideMark/>
          </w:tcPr>
          <w:p w14:paraId="16DB673C" w14:textId="5FBC2115" w:rsidR="00790980" w:rsidRPr="007B1A77" w:rsidRDefault="00790980" w:rsidP="00534F2F">
            <w:pPr>
              <w:jc w:val="center"/>
              <w:rPr>
                <w:rFonts w:ascii="Times New Roman" w:eastAsia="Times New Roman" w:hAnsi="Times New Roman"/>
                <w:b/>
                <w:bCs/>
                <w:szCs w:val="24"/>
                <w:lang w:eastAsia="el-GR"/>
              </w:rPr>
            </w:pPr>
            <w:r w:rsidRPr="007B1A77">
              <w:rPr>
                <w:rFonts w:ascii="Times New Roman" w:eastAsia="Times New Roman" w:hAnsi="Times New Roman"/>
                <w:b/>
                <w:bCs/>
                <w:szCs w:val="24"/>
                <w:lang w:eastAsia="el-GR"/>
              </w:rPr>
              <w:t>2026</w:t>
            </w:r>
          </w:p>
        </w:tc>
        <w:tc>
          <w:tcPr>
            <w:tcW w:w="679" w:type="dxa"/>
            <w:vAlign w:val="center"/>
            <w:hideMark/>
          </w:tcPr>
          <w:p w14:paraId="7A142077" w14:textId="6D689229" w:rsidR="00790980" w:rsidRPr="007B1A77" w:rsidRDefault="00790980" w:rsidP="00534F2F">
            <w:pPr>
              <w:jc w:val="center"/>
              <w:rPr>
                <w:rFonts w:ascii="Times New Roman" w:eastAsia="Times New Roman" w:hAnsi="Times New Roman"/>
                <w:b/>
                <w:bCs/>
                <w:szCs w:val="24"/>
                <w:lang w:eastAsia="el-GR"/>
              </w:rPr>
            </w:pPr>
            <w:r w:rsidRPr="007B1A77">
              <w:rPr>
                <w:rFonts w:ascii="Times New Roman" w:eastAsia="Times New Roman" w:hAnsi="Times New Roman"/>
                <w:b/>
                <w:bCs/>
                <w:szCs w:val="24"/>
                <w:lang w:eastAsia="el-GR"/>
              </w:rPr>
              <w:t>2025</w:t>
            </w:r>
          </w:p>
        </w:tc>
        <w:tc>
          <w:tcPr>
            <w:tcW w:w="821" w:type="dxa"/>
            <w:vAlign w:val="center"/>
            <w:hideMark/>
          </w:tcPr>
          <w:p w14:paraId="712E73DB" w14:textId="1472BBDE" w:rsidR="00790980" w:rsidRPr="007B1A77" w:rsidRDefault="00790980" w:rsidP="00534F2F">
            <w:pPr>
              <w:jc w:val="center"/>
              <w:rPr>
                <w:rFonts w:ascii="Times New Roman" w:eastAsia="Times New Roman" w:hAnsi="Times New Roman"/>
                <w:b/>
                <w:bCs/>
                <w:szCs w:val="24"/>
                <w:lang w:eastAsia="el-GR"/>
              </w:rPr>
            </w:pPr>
            <w:r w:rsidRPr="007B1A77">
              <w:rPr>
                <w:rFonts w:ascii="Times New Roman" w:eastAsia="Times New Roman" w:hAnsi="Times New Roman"/>
                <w:b/>
                <w:bCs/>
                <w:szCs w:val="24"/>
                <w:lang w:eastAsia="el-GR"/>
              </w:rPr>
              <w:t>%</w:t>
            </w:r>
          </w:p>
        </w:tc>
        <w:tc>
          <w:tcPr>
            <w:tcW w:w="1230" w:type="dxa"/>
            <w:vAlign w:val="center"/>
            <w:hideMark/>
          </w:tcPr>
          <w:p w14:paraId="1E1F97DD" w14:textId="77777777" w:rsidR="00790980" w:rsidRPr="007B1A77" w:rsidRDefault="00790980" w:rsidP="00534F2F">
            <w:pPr>
              <w:jc w:val="center"/>
              <w:rPr>
                <w:rFonts w:ascii="Times New Roman" w:eastAsia="Times New Roman" w:hAnsi="Times New Roman"/>
                <w:b/>
                <w:bCs/>
                <w:szCs w:val="24"/>
                <w:lang w:eastAsia="el-GR"/>
              </w:rPr>
            </w:pPr>
            <w:proofErr w:type="spellStart"/>
            <w:r w:rsidRPr="007B1A77">
              <w:rPr>
                <w:rFonts w:ascii="Times New Roman" w:eastAsia="Times New Roman" w:hAnsi="Times New Roman"/>
                <w:b/>
                <w:bCs/>
                <w:szCs w:val="24"/>
                <w:lang w:eastAsia="el-GR"/>
              </w:rPr>
              <w:t>Οργ</w:t>
            </w:r>
            <w:proofErr w:type="spellEnd"/>
            <w:r w:rsidRPr="007B1A77">
              <w:rPr>
                <w:rFonts w:ascii="Times New Roman" w:eastAsia="Times New Roman" w:hAnsi="Times New Roman"/>
                <w:b/>
                <w:bCs/>
                <w:szCs w:val="24"/>
                <w:lang w:eastAsia="el-GR"/>
              </w:rPr>
              <w:t>ανική α</w:t>
            </w:r>
            <w:proofErr w:type="spellStart"/>
            <w:r w:rsidRPr="007B1A77">
              <w:rPr>
                <w:rFonts w:ascii="Times New Roman" w:eastAsia="Times New Roman" w:hAnsi="Times New Roman"/>
                <w:b/>
                <w:bCs/>
                <w:szCs w:val="24"/>
                <w:lang w:eastAsia="el-GR"/>
              </w:rPr>
              <w:t>νά</w:t>
            </w:r>
            <w:proofErr w:type="spellEnd"/>
            <w:r w:rsidRPr="007B1A77">
              <w:rPr>
                <w:rFonts w:ascii="Times New Roman" w:eastAsia="Times New Roman" w:hAnsi="Times New Roman"/>
                <w:b/>
                <w:bCs/>
                <w:szCs w:val="24"/>
                <w:lang w:eastAsia="el-GR"/>
              </w:rPr>
              <w:t>πτυξη</w:t>
            </w:r>
          </w:p>
        </w:tc>
      </w:tr>
      <w:tr w:rsidR="00790980" w:rsidRPr="007B1A77" w14:paraId="17174193" w14:textId="77777777" w:rsidTr="00534F2F">
        <w:trPr>
          <w:tblCellSpacing w:w="15" w:type="dxa"/>
        </w:trPr>
        <w:tc>
          <w:tcPr>
            <w:tcW w:w="4379" w:type="dxa"/>
            <w:vAlign w:val="center"/>
            <w:hideMark/>
          </w:tcPr>
          <w:p w14:paraId="6D9E5E29" w14:textId="77777777" w:rsidR="00790980" w:rsidRPr="007B1A77" w:rsidRDefault="00790980" w:rsidP="006B31D2">
            <w:pPr>
              <w:rPr>
                <w:rFonts w:ascii="Times New Roman" w:eastAsia="Times New Roman" w:hAnsi="Times New Roman"/>
                <w:szCs w:val="24"/>
                <w:lang w:eastAsia="el-GR"/>
              </w:rPr>
            </w:pPr>
            <w:r w:rsidRPr="007B1A77">
              <w:rPr>
                <w:rFonts w:ascii="Times New Roman" w:eastAsia="Times New Roman" w:hAnsi="Times New Roman"/>
                <w:szCs w:val="24"/>
                <w:lang w:eastAsia="el-GR"/>
              </w:rPr>
              <w:t>Building Materials</w:t>
            </w:r>
            <w:r>
              <w:rPr>
                <w:rFonts w:ascii="Times New Roman" w:eastAsia="Times New Roman" w:hAnsi="Times New Roman"/>
                <w:szCs w:val="24"/>
                <w:lang w:eastAsia="el-GR"/>
              </w:rPr>
              <w:t>/</w:t>
            </w:r>
            <w:r>
              <w:t xml:space="preserve"> Καθα</w:t>
            </w:r>
            <w:proofErr w:type="spellStart"/>
            <w:r>
              <w:t>ρές</w:t>
            </w:r>
            <w:proofErr w:type="spellEnd"/>
            <w:r>
              <w:t xml:space="preserve"> π</w:t>
            </w:r>
            <w:proofErr w:type="spellStart"/>
            <w:r>
              <w:t>ωλήσεις</w:t>
            </w:r>
            <w:proofErr w:type="spellEnd"/>
            <w:r>
              <w:t xml:space="preserve"> (</w:t>
            </w:r>
            <w:proofErr w:type="spellStart"/>
            <w:r>
              <w:t>εκ</w:t>
            </w:r>
            <w:proofErr w:type="spellEnd"/>
            <w:r>
              <w:t>ατ. CHF)</w:t>
            </w:r>
          </w:p>
        </w:tc>
        <w:tc>
          <w:tcPr>
            <w:tcW w:w="649" w:type="dxa"/>
            <w:vAlign w:val="center"/>
            <w:hideMark/>
          </w:tcPr>
          <w:p w14:paraId="6F8F36DD" w14:textId="4F4E1BF0"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2.504</w:t>
            </w:r>
          </w:p>
        </w:tc>
        <w:tc>
          <w:tcPr>
            <w:tcW w:w="679" w:type="dxa"/>
            <w:vAlign w:val="center"/>
            <w:hideMark/>
          </w:tcPr>
          <w:p w14:paraId="6438B2BF" w14:textId="4E82192C"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2.738</w:t>
            </w:r>
          </w:p>
        </w:tc>
        <w:tc>
          <w:tcPr>
            <w:tcW w:w="821" w:type="dxa"/>
            <w:vAlign w:val="center"/>
            <w:hideMark/>
          </w:tcPr>
          <w:p w14:paraId="6E2E29F7" w14:textId="6ABF0D3F" w:rsidR="00790980" w:rsidRPr="007B1A77" w:rsidRDefault="00FA1469" w:rsidP="00534F2F">
            <w:pPr>
              <w:jc w:val="center"/>
              <w:rPr>
                <w:rFonts w:ascii="Times New Roman" w:eastAsia="Times New Roman" w:hAnsi="Times New Roman"/>
                <w:szCs w:val="24"/>
                <w:lang w:eastAsia="el-GR"/>
              </w:rPr>
            </w:pPr>
            <w:r>
              <w:rPr>
                <w:rFonts w:ascii="Times New Roman" w:eastAsia="Times New Roman" w:hAnsi="Times New Roman"/>
                <w:szCs w:val="24"/>
                <w:lang w:eastAsia="el-GR"/>
              </w:rPr>
              <w:t>(</w:t>
            </w:r>
            <w:r w:rsidR="00790980" w:rsidRPr="007B1A77">
              <w:rPr>
                <w:rFonts w:ascii="Times New Roman" w:eastAsia="Times New Roman" w:hAnsi="Times New Roman"/>
                <w:szCs w:val="24"/>
                <w:lang w:eastAsia="el-GR"/>
              </w:rPr>
              <w:t>8,5%</w:t>
            </w:r>
            <w:r>
              <w:rPr>
                <w:rFonts w:ascii="Times New Roman" w:eastAsia="Times New Roman" w:hAnsi="Times New Roman"/>
                <w:szCs w:val="24"/>
                <w:lang w:eastAsia="el-GR"/>
              </w:rPr>
              <w:t>)</w:t>
            </w:r>
          </w:p>
        </w:tc>
        <w:tc>
          <w:tcPr>
            <w:tcW w:w="1230" w:type="dxa"/>
            <w:vAlign w:val="center"/>
            <w:hideMark/>
          </w:tcPr>
          <w:p w14:paraId="7C0CEE19" w14:textId="5707A0FC"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+4,7%</w:t>
            </w:r>
          </w:p>
        </w:tc>
      </w:tr>
      <w:tr w:rsidR="00790980" w:rsidRPr="007B1A77" w14:paraId="39DFF2E9" w14:textId="77777777" w:rsidTr="00534F2F">
        <w:trPr>
          <w:tblCellSpacing w:w="15" w:type="dxa"/>
        </w:trPr>
        <w:tc>
          <w:tcPr>
            <w:tcW w:w="4379" w:type="dxa"/>
            <w:vAlign w:val="center"/>
            <w:hideMark/>
          </w:tcPr>
          <w:p w14:paraId="723B6E0E" w14:textId="77777777" w:rsidR="00790980" w:rsidRPr="007B1A77" w:rsidRDefault="00790980" w:rsidP="006B31D2">
            <w:pPr>
              <w:rPr>
                <w:rFonts w:ascii="Times New Roman" w:eastAsia="Times New Roman" w:hAnsi="Times New Roman"/>
                <w:szCs w:val="24"/>
                <w:lang w:eastAsia="el-GR"/>
              </w:rPr>
            </w:pPr>
            <w:r w:rsidRPr="007B1A77">
              <w:rPr>
                <w:rFonts w:ascii="Times New Roman" w:eastAsia="Times New Roman" w:hAnsi="Times New Roman"/>
                <w:szCs w:val="24"/>
                <w:lang w:eastAsia="el-GR"/>
              </w:rPr>
              <w:t>Building Solutions</w:t>
            </w:r>
            <w:r>
              <w:rPr>
                <w:rFonts w:ascii="Times New Roman" w:eastAsia="Times New Roman" w:hAnsi="Times New Roman"/>
                <w:szCs w:val="24"/>
                <w:lang w:eastAsia="el-GR"/>
              </w:rPr>
              <w:t xml:space="preserve"> /</w:t>
            </w:r>
            <w:r>
              <w:t>Καθα</w:t>
            </w:r>
            <w:proofErr w:type="spellStart"/>
            <w:r>
              <w:t>ρές</w:t>
            </w:r>
            <w:proofErr w:type="spellEnd"/>
            <w:r>
              <w:t xml:space="preserve"> π</w:t>
            </w:r>
            <w:proofErr w:type="spellStart"/>
            <w:r>
              <w:t>ωλήσεις</w:t>
            </w:r>
            <w:proofErr w:type="spellEnd"/>
            <w:r>
              <w:t xml:space="preserve"> (</w:t>
            </w:r>
            <w:proofErr w:type="spellStart"/>
            <w:r>
              <w:t>εκ</w:t>
            </w:r>
            <w:proofErr w:type="spellEnd"/>
            <w:r>
              <w:t>ατ. CHF)</w:t>
            </w:r>
          </w:p>
        </w:tc>
        <w:tc>
          <w:tcPr>
            <w:tcW w:w="649" w:type="dxa"/>
            <w:vAlign w:val="center"/>
            <w:hideMark/>
          </w:tcPr>
          <w:p w14:paraId="6CF9FE21" w14:textId="0292A2F4"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1.405</w:t>
            </w:r>
          </w:p>
        </w:tc>
        <w:tc>
          <w:tcPr>
            <w:tcW w:w="679" w:type="dxa"/>
            <w:vAlign w:val="center"/>
            <w:hideMark/>
          </w:tcPr>
          <w:p w14:paraId="4D971952" w14:textId="700C7F1B"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1.354</w:t>
            </w:r>
          </w:p>
        </w:tc>
        <w:tc>
          <w:tcPr>
            <w:tcW w:w="821" w:type="dxa"/>
            <w:vAlign w:val="center"/>
            <w:hideMark/>
          </w:tcPr>
          <w:p w14:paraId="38B336D5" w14:textId="3E6C2D03"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+3,8%</w:t>
            </w:r>
          </w:p>
        </w:tc>
        <w:tc>
          <w:tcPr>
            <w:tcW w:w="1230" w:type="dxa"/>
            <w:vAlign w:val="center"/>
            <w:hideMark/>
          </w:tcPr>
          <w:p w14:paraId="4E4B4D43" w14:textId="5AB7B5AB" w:rsidR="00790980" w:rsidRPr="007B1A77" w:rsidRDefault="00790980" w:rsidP="00534F2F">
            <w:pPr>
              <w:jc w:val="center"/>
              <w:rPr>
                <w:rFonts w:ascii="Times New Roman" w:eastAsia="Times New Roman" w:hAnsi="Times New Roman"/>
                <w:szCs w:val="24"/>
                <w:lang w:eastAsia="el-GR"/>
              </w:rPr>
            </w:pPr>
            <w:r w:rsidRPr="007B1A77">
              <w:rPr>
                <w:rFonts w:ascii="Times New Roman" w:eastAsia="Times New Roman" w:hAnsi="Times New Roman"/>
                <w:szCs w:val="24"/>
                <w:lang w:eastAsia="el-GR"/>
              </w:rPr>
              <w:t>+2,3%</w:t>
            </w:r>
          </w:p>
        </w:tc>
      </w:tr>
    </w:tbl>
    <w:p w14:paraId="5F7699E0" w14:textId="77777777" w:rsidR="00790980" w:rsidRPr="007B1A77" w:rsidRDefault="00790980" w:rsidP="00790980">
      <w:pPr>
        <w:rPr>
          <w:rFonts w:ascii="Times New Roman" w:eastAsia="Times New Roman" w:hAnsi="Times New Roman"/>
          <w:szCs w:val="24"/>
          <w:lang w:eastAsia="el-GR"/>
        </w:rPr>
      </w:pPr>
    </w:p>
    <w:p w14:paraId="275177D6" w14:textId="1534A3C3" w:rsidR="00790980" w:rsidRDefault="00790980" w:rsidP="00790980">
      <w:pPr>
        <w:spacing w:before="100" w:beforeAutospacing="1" w:after="100" w:afterAutospacing="1"/>
        <w:rPr>
          <w:rFonts w:ascii="Times New Roman" w:eastAsia="Times New Roman" w:hAnsi="Times New Roman"/>
          <w:b/>
          <w:bCs/>
          <w:szCs w:val="24"/>
          <w:lang w:val="el-GR" w:eastAsia="el-GR"/>
        </w:rPr>
      </w:pPr>
      <w:r w:rsidRPr="00790980">
        <w:rPr>
          <w:rFonts w:ascii="Times New Roman" w:eastAsia="Times New Roman" w:hAnsi="Times New Roman"/>
          <w:b/>
          <w:bCs/>
          <w:szCs w:val="24"/>
          <w:lang w:val="el-GR" w:eastAsia="el-GR"/>
        </w:rPr>
        <w:t>Περιφερειακή απόδοση</w:t>
      </w:r>
    </w:p>
    <w:p w14:paraId="52D882A8" w14:textId="32721E42" w:rsidR="00790980" w:rsidRPr="00FA1469" w:rsidRDefault="00790980" w:rsidP="00FA1469">
      <w:pPr>
        <w:spacing w:before="100" w:beforeAutospacing="1" w:after="100" w:afterAutospacing="1"/>
        <w:rPr>
          <w:lang w:val="el-GR"/>
        </w:rPr>
      </w:pPr>
      <w:r w:rsidRPr="00790980">
        <w:rPr>
          <w:rFonts w:ascii="Times New Roman" w:eastAsia="Times New Roman" w:hAnsi="Times New Roman"/>
          <w:b/>
          <w:bCs/>
          <w:szCs w:val="24"/>
          <w:lang w:val="el-GR" w:eastAsia="el-GR"/>
        </w:rPr>
        <w:t>Ευρώπη</w:t>
      </w:r>
      <w:r w:rsidRPr="00790980">
        <w:rPr>
          <w:rFonts w:ascii="Times New Roman" w:eastAsia="Times New Roman" w:hAnsi="Times New Roman"/>
          <w:szCs w:val="24"/>
          <w:lang w:val="el-GR" w:eastAsia="el-GR"/>
        </w:rPr>
        <w:br/>
        <w:t xml:space="preserve">Ισχυρή ζήτηση τον Μάρτιο, αύξηση χρήσης εναλλακτικών καυσίμων στο 70%. </w:t>
      </w:r>
      <w:r w:rsidRPr="00790980">
        <w:rPr>
          <w:lang w:val="el-GR"/>
        </w:rPr>
        <w:t>Οι επενδύσεις σε υποδομές διαμορφώνουν θετικές προοπτικές, ενώ σε αρκετές χώρες καταγράφεται αύξηση στις οικοδομικές άδειες για οικιστικά έργα.</w:t>
      </w:r>
    </w:p>
    <w:p w14:paraId="01095C44" w14:textId="1F7B28CA" w:rsidR="00790980" w:rsidRPr="00627D72" w:rsidRDefault="00790980" w:rsidP="00790980">
      <w:pPr>
        <w:pStyle w:val="NormalWeb"/>
      </w:pPr>
      <w:r w:rsidRPr="007B1A77">
        <w:rPr>
          <w:b/>
          <w:bCs/>
        </w:rPr>
        <w:t>Λατινική Αμερική</w:t>
      </w:r>
      <w:r w:rsidRPr="007B1A77">
        <w:br/>
        <w:t xml:space="preserve">Οργανική ανάπτυξη 7,6% στις πωλήσεις. </w:t>
      </w:r>
      <w:r w:rsidRPr="00627D72">
        <w:t>Τα επαναλαμβανόμενα EBIT παρέμειναν σε οργανικά σταθερά επίπεδα σε σύγκριση με την αντίστοιχη περίοδο του προηγούμενου έτους, με περιθώριο άνω του 30%.</w:t>
      </w:r>
    </w:p>
    <w:p w14:paraId="5F254B75"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szCs w:val="24"/>
          <w:lang w:val="el-GR" w:eastAsia="el-GR"/>
        </w:rPr>
        <w:lastRenderedPageBreak/>
        <w:t>Στο Μεξικό, ένα πρόγραμμα κοινωνικής κατοικίας που προβλέπει την κατασκευή 1,8 εκατομμυρίων νέων κατοικιών, καθώς και έργα υποδομών, αναμένεται να επιταχύνουν την ανάπτυξη. Στην Κεντρική Αμερική, καταγράφεται υψηλή ζήτηση για κατοικίες και έργα υποδομών.</w:t>
      </w:r>
    </w:p>
    <w:p w14:paraId="34CCAE88"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rFonts w:ascii="Times New Roman" w:eastAsia="Times New Roman" w:hAnsi="Times New Roman"/>
          <w:b/>
          <w:bCs/>
          <w:szCs w:val="24"/>
          <w:lang w:val="el-GR" w:eastAsia="el-GR"/>
        </w:rPr>
        <w:t>Ασία, Μέση Ανατολή &amp; Αφρική</w:t>
      </w:r>
      <w:r w:rsidRPr="00790980">
        <w:rPr>
          <w:rFonts w:ascii="Times New Roman" w:eastAsia="Times New Roman" w:hAnsi="Times New Roman"/>
          <w:szCs w:val="24"/>
          <w:lang w:val="el-GR" w:eastAsia="el-GR"/>
        </w:rPr>
        <w:br/>
        <w:t xml:space="preserve">Ισχυρή ανάπτυξη και αύξηση </w:t>
      </w:r>
      <w:r w:rsidRPr="007B1A77">
        <w:rPr>
          <w:rFonts w:ascii="Times New Roman" w:eastAsia="Times New Roman" w:hAnsi="Times New Roman"/>
          <w:szCs w:val="24"/>
          <w:lang w:eastAsia="el-GR"/>
        </w:rPr>
        <w:t>EBIT</w:t>
      </w:r>
      <w:r w:rsidRPr="00790980">
        <w:rPr>
          <w:rFonts w:ascii="Times New Roman" w:eastAsia="Times New Roman" w:hAnsi="Times New Roman"/>
          <w:szCs w:val="24"/>
          <w:lang w:val="el-GR" w:eastAsia="el-GR"/>
        </w:rPr>
        <w:t xml:space="preserve"> κατά 26,3%. Θετική δυναμική σε Β. Αφρική και Αυστραλία.</w:t>
      </w:r>
    </w:p>
    <w:p w14:paraId="2B507358" w14:textId="77777777" w:rsidR="00790980" w:rsidRPr="00790980" w:rsidRDefault="00790980" w:rsidP="00790980">
      <w:pPr>
        <w:spacing w:before="100" w:beforeAutospacing="1" w:after="100" w:afterAutospacing="1"/>
        <w:rPr>
          <w:rFonts w:ascii="Times New Roman" w:eastAsia="Times New Roman" w:hAnsi="Times New Roman"/>
          <w:szCs w:val="24"/>
          <w:lang w:val="el-GR" w:eastAsia="el-GR"/>
        </w:rPr>
      </w:pPr>
      <w:r w:rsidRPr="00790980">
        <w:rPr>
          <w:lang w:val="el-GR"/>
        </w:rPr>
        <w:t xml:space="preserve">Τα έργα υποδομών και οικιστικής ανάπτυξης αναμένεται να ενισχύσουν περαιτέρω την ανάπτυξη στη Βόρεια Αφρική, ενώ στην Αυστραλία καταγράφεται ισχυρή δυναμική από μεγάλα έργα, όπως οι Ολυμπιακοί Αγώνες του 2032 στο </w:t>
      </w:r>
      <w:proofErr w:type="spellStart"/>
      <w:r w:rsidRPr="00790980">
        <w:rPr>
          <w:lang w:val="el-GR"/>
        </w:rPr>
        <w:t>Μπρισμπέιν</w:t>
      </w:r>
      <w:proofErr w:type="spellEnd"/>
      <w:r w:rsidRPr="00790980">
        <w:rPr>
          <w:lang w:val="el-GR"/>
        </w:rPr>
        <w:t>.</w:t>
      </w:r>
    </w:p>
    <w:p w14:paraId="5805C13F" w14:textId="77777777" w:rsidR="00685420" w:rsidRDefault="00685420" w:rsidP="00DA59D4">
      <w:pPr>
        <w:shd w:val="clear" w:color="auto" w:fill="FFFFFF"/>
        <w:jc w:val="center"/>
        <w:rPr>
          <w:rStyle w:val="Strong"/>
          <w:rFonts w:ascii="Arial" w:hAnsi="Arial" w:cs="Arial"/>
          <w:color w:val="000000"/>
          <w:shd w:val="clear" w:color="auto" w:fill="FFFFFF"/>
          <w:lang w:val="el-GR"/>
        </w:rPr>
      </w:pPr>
    </w:p>
    <w:p w14:paraId="1BC661AD" w14:textId="77777777" w:rsidR="00685420" w:rsidRPr="00D21880" w:rsidRDefault="00685420" w:rsidP="002049B8">
      <w:pPr>
        <w:jc w:val="both"/>
        <w:rPr>
          <w:rFonts w:ascii="Arial" w:eastAsia="Times New Roman" w:hAnsi="Arial" w:cs="Arial"/>
          <w:b/>
          <w:bCs/>
          <w:color w:val="212121"/>
          <w:sz w:val="16"/>
          <w:szCs w:val="16"/>
          <w:u w:val="single"/>
          <w:lang w:val="el-GR" w:eastAsia="el-GR" w:bidi="he-IL"/>
        </w:rPr>
      </w:pPr>
    </w:p>
    <w:p w14:paraId="50F9D2D8" w14:textId="6FD36493" w:rsidR="002049B8" w:rsidRDefault="0007345E" w:rsidP="002049B8">
      <w:pPr>
        <w:jc w:val="both"/>
        <w:rPr>
          <w:rFonts w:ascii="Arial" w:eastAsia="Times New Roman" w:hAnsi="Arial" w:cs="Arial"/>
          <w:b/>
          <w:bCs/>
          <w:color w:val="212121"/>
          <w:sz w:val="16"/>
          <w:szCs w:val="16"/>
          <w:u w:val="single"/>
          <w:lang w:val="el-GR" w:eastAsia="el-GR" w:bidi="he-IL"/>
        </w:rPr>
      </w:pPr>
      <w:r w:rsidRPr="00EE4DFB">
        <w:rPr>
          <w:rFonts w:ascii="Arial" w:eastAsia="Times New Roman" w:hAnsi="Arial" w:cs="Arial"/>
          <w:b/>
          <w:bCs/>
          <w:color w:val="212121"/>
          <w:sz w:val="16"/>
          <w:szCs w:val="16"/>
          <w:u w:val="single"/>
          <w:lang w:eastAsia="el-GR" w:bidi="he-IL"/>
        </w:rPr>
        <w:t>Holcim</w:t>
      </w:r>
    </w:p>
    <w:p w14:paraId="3168E539" w14:textId="483980D6" w:rsidR="00461B83" w:rsidRDefault="002049B8" w:rsidP="002269A0">
      <w:pPr>
        <w:jc w:val="both"/>
        <w:rPr>
          <w:rFonts w:ascii="Arial" w:eastAsia="Aptos" w:hAnsi="Arial" w:cs="Arial"/>
          <w:sz w:val="16"/>
          <w:szCs w:val="16"/>
          <w:lang w:val="el-GR" w:bidi="he-IL"/>
        </w:rPr>
      </w:pPr>
      <w:r w:rsidRPr="002049B8">
        <w:rPr>
          <w:rFonts w:ascii="Arial" w:eastAsia="Aptos" w:hAnsi="Arial" w:cs="Arial"/>
          <w:sz w:val="16"/>
          <w:szCs w:val="16"/>
          <w:lang w:val="el-GR" w:bidi="he-IL"/>
        </w:rPr>
        <w:t xml:space="preserve">Σχετικά με τη </w:t>
      </w:r>
      <w:proofErr w:type="spellStart"/>
      <w:r w:rsidRPr="002049B8">
        <w:rPr>
          <w:rFonts w:ascii="Arial" w:eastAsia="Aptos" w:hAnsi="Arial" w:cs="Arial"/>
          <w:sz w:val="16"/>
          <w:szCs w:val="16"/>
          <w:lang w:val="el-GR" w:bidi="he-IL"/>
        </w:rPr>
        <w:t>Holcim</w:t>
      </w:r>
      <w:proofErr w:type="spellEnd"/>
      <w:r w:rsidRPr="002049B8">
        <w:rPr>
          <w:rFonts w:ascii="Arial" w:eastAsia="Aptos" w:hAnsi="Arial" w:cs="Arial"/>
          <w:sz w:val="16"/>
          <w:szCs w:val="16"/>
          <w:lang w:val="el-GR" w:bidi="he-IL"/>
        </w:rPr>
        <w:t xml:space="preserve"> Η </w:t>
      </w:r>
      <w:proofErr w:type="spellStart"/>
      <w:r w:rsidRPr="002049B8">
        <w:rPr>
          <w:rFonts w:ascii="Arial" w:eastAsia="Aptos" w:hAnsi="Arial" w:cs="Arial"/>
          <w:sz w:val="16"/>
          <w:szCs w:val="16"/>
          <w:lang w:val="el-GR" w:bidi="he-IL"/>
        </w:rPr>
        <w:t>Holcim</w:t>
      </w:r>
      <w:proofErr w:type="spellEnd"/>
      <w:r w:rsidRPr="002049B8">
        <w:rPr>
          <w:rFonts w:ascii="Arial" w:eastAsia="Aptos" w:hAnsi="Arial" w:cs="Arial"/>
          <w:sz w:val="16"/>
          <w:szCs w:val="16"/>
          <w:lang w:val="el-GR" w:bidi="he-IL"/>
        </w:rPr>
        <w:t xml:space="preserve"> (SIX: HOLN) είναι ο κορυφαίος εταίρος για βιώσιμες κατασκευές με καθαρές πωλήσεις 15,7 δισ. CHF το 2025. Με έδρα το </w:t>
      </w:r>
      <w:proofErr w:type="spellStart"/>
      <w:r w:rsidRPr="002049B8">
        <w:rPr>
          <w:rFonts w:ascii="Arial" w:eastAsia="Aptos" w:hAnsi="Arial" w:cs="Arial"/>
          <w:sz w:val="16"/>
          <w:szCs w:val="16"/>
          <w:lang w:val="el-GR" w:bidi="he-IL"/>
        </w:rPr>
        <w:t>Τσουγκ</w:t>
      </w:r>
      <w:proofErr w:type="spellEnd"/>
      <w:r w:rsidRPr="002049B8">
        <w:rPr>
          <w:rFonts w:ascii="Arial" w:eastAsia="Aptos" w:hAnsi="Arial" w:cs="Arial"/>
          <w:sz w:val="16"/>
          <w:szCs w:val="16"/>
          <w:lang w:val="el-GR" w:bidi="he-IL"/>
        </w:rPr>
        <w:t xml:space="preserve"> της Ελβετίας, απασχολεί περισσότερους από 45.000 εργαζομένους σε 43 αγορές και προσφέρει υψηλής αξίας Δομικά Υλικά και Οικοδομικές Λύσεις, εξοπλισμένα με κορυφαίες μάρκες όπως οι </w:t>
      </w:r>
      <w:proofErr w:type="spellStart"/>
      <w:r w:rsidRPr="002049B8">
        <w:rPr>
          <w:rFonts w:ascii="Arial" w:eastAsia="Aptos" w:hAnsi="Arial" w:cs="Arial"/>
          <w:sz w:val="16"/>
          <w:szCs w:val="16"/>
          <w:lang w:val="el-GR" w:bidi="he-IL"/>
        </w:rPr>
        <w:t>ECOPact</w:t>
      </w:r>
      <w:proofErr w:type="spellEnd"/>
      <w:r w:rsidRPr="002049B8">
        <w:rPr>
          <w:rFonts w:ascii="Arial" w:eastAsia="Aptos" w:hAnsi="Arial" w:cs="Arial"/>
          <w:sz w:val="16"/>
          <w:szCs w:val="16"/>
          <w:lang w:val="el-GR" w:bidi="he-IL"/>
        </w:rPr>
        <w:t xml:space="preserve">, </w:t>
      </w:r>
      <w:proofErr w:type="spellStart"/>
      <w:r w:rsidRPr="002049B8">
        <w:rPr>
          <w:rFonts w:ascii="Arial" w:eastAsia="Aptos" w:hAnsi="Arial" w:cs="Arial"/>
          <w:sz w:val="16"/>
          <w:szCs w:val="16"/>
          <w:lang w:val="el-GR" w:bidi="he-IL"/>
        </w:rPr>
        <w:t>ECOPlanet</w:t>
      </w:r>
      <w:proofErr w:type="spellEnd"/>
      <w:r w:rsidRPr="002049B8">
        <w:rPr>
          <w:rFonts w:ascii="Arial" w:eastAsia="Aptos" w:hAnsi="Arial" w:cs="Arial"/>
          <w:sz w:val="16"/>
          <w:szCs w:val="16"/>
          <w:lang w:val="el-GR" w:bidi="he-IL"/>
        </w:rPr>
        <w:t xml:space="preserve"> και </w:t>
      </w:r>
      <w:proofErr w:type="spellStart"/>
      <w:r w:rsidRPr="002049B8">
        <w:rPr>
          <w:rFonts w:ascii="Arial" w:eastAsia="Aptos" w:hAnsi="Arial" w:cs="Arial"/>
          <w:sz w:val="16"/>
          <w:szCs w:val="16"/>
          <w:lang w:val="el-GR" w:bidi="he-IL"/>
        </w:rPr>
        <w:t>ECOCycle</w:t>
      </w:r>
      <w:proofErr w:type="spellEnd"/>
      <w:r w:rsidRPr="002049B8">
        <w:rPr>
          <w:rFonts w:ascii="Arial" w:eastAsia="Aptos" w:hAnsi="Arial" w:cs="Arial"/>
          <w:sz w:val="16"/>
          <w:szCs w:val="16"/>
          <w:lang w:val="el-GR" w:bidi="he-IL"/>
        </w:rPr>
        <w:t>.</w:t>
      </w:r>
    </w:p>
    <w:p w14:paraId="725CE422" w14:textId="77777777" w:rsidR="00592951" w:rsidRPr="00DA59D4" w:rsidRDefault="00592951" w:rsidP="00592951">
      <w:pPr>
        <w:pStyle w:val="Default"/>
        <w:rPr>
          <w:lang w:val="el-GR"/>
        </w:rPr>
      </w:pPr>
    </w:p>
    <w:p w14:paraId="10222ED7" w14:textId="26960581" w:rsidR="00592951" w:rsidRDefault="00592951" w:rsidP="00592951">
      <w:pPr>
        <w:jc w:val="both"/>
        <w:rPr>
          <w:rFonts w:ascii="Arial" w:eastAsia="Aptos" w:hAnsi="Arial" w:cs="Arial"/>
          <w:sz w:val="16"/>
          <w:szCs w:val="16"/>
          <w:lang w:val="el-GR" w:bidi="he-IL"/>
        </w:rPr>
      </w:pPr>
      <w:r w:rsidRPr="00D33F98">
        <w:rPr>
          <w:rFonts w:ascii="Arial" w:eastAsia="Aptos" w:hAnsi="Arial" w:cs="Arial"/>
          <w:sz w:val="16"/>
          <w:szCs w:val="16"/>
          <w:lang w:val="el-GR" w:bidi="he-IL"/>
        </w:rPr>
        <w:t xml:space="preserve">Για περισσότερες πληροφορίες, επισκεφθείτε το </w:t>
      </w:r>
      <w:hyperlink r:id="rId8" w:history="1">
        <w:r w:rsidR="000145B5" w:rsidRPr="00B52DC4">
          <w:rPr>
            <w:rStyle w:val="Hyperlink"/>
            <w:rFonts w:ascii="Arial" w:eastAsia="Aptos" w:hAnsi="Arial" w:cs="Arial"/>
            <w:sz w:val="16"/>
            <w:szCs w:val="16"/>
            <w:lang w:val="el-GR" w:bidi="he-IL"/>
          </w:rPr>
          <w:t>www.holcim.com</w:t>
        </w:r>
      </w:hyperlink>
      <w:r w:rsidRPr="00D33F98">
        <w:rPr>
          <w:color w:val="0000FF"/>
          <w:sz w:val="15"/>
          <w:szCs w:val="15"/>
          <w:lang w:val="el-GR"/>
        </w:rPr>
        <w:t xml:space="preserve">, </w:t>
      </w:r>
      <w:r w:rsidRPr="00D33F98">
        <w:rPr>
          <w:rFonts w:ascii="Arial" w:eastAsia="Aptos" w:hAnsi="Arial" w:cs="Arial"/>
          <w:sz w:val="16"/>
          <w:szCs w:val="16"/>
          <w:lang w:val="el-GR" w:bidi="he-IL"/>
        </w:rPr>
        <w:t>και ακολουθήστε μας στο</w:t>
      </w:r>
      <w:r w:rsidR="005A321C">
        <w:rPr>
          <w:rFonts w:ascii="Arial" w:eastAsia="Aptos" w:hAnsi="Arial" w:cs="Arial"/>
          <w:sz w:val="16"/>
          <w:szCs w:val="16"/>
          <w:lang w:val="el-GR" w:bidi="he-IL"/>
        </w:rPr>
        <w:t xml:space="preserve"> </w:t>
      </w:r>
      <w:hyperlink r:id="rId9" w:history="1">
        <w:r w:rsidR="005A321C" w:rsidRPr="005A321C">
          <w:rPr>
            <w:rStyle w:val="Hyperlink"/>
            <w:rFonts w:ascii="Arial" w:eastAsia="Aptos" w:hAnsi="Arial" w:cs="Arial"/>
            <w:sz w:val="16"/>
            <w:szCs w:val="16"/>
            <w:lang w:val="el-GR" w:bidi="he-IL"/>
          </w:rPr>
          <w:t>LinkedIn</w:t>
        </w:r>
      </w:hyperlink>
      <w:r w:rsidR="005A321C" w:rsidRPr="005A321C">
        <w:rPr>
          <w:rFonts w:ascii="Arial" w:eastAsia="Aptos" w:hAnsi="Arial" w:cs="Arial"/>
          <w:sz w:val="16"/>
          <w:szCs w:val="16"/>
          <w:lang w:val="el-GR" w:bidi="he-IL"/>
        </w:rPr>
        <w:t>.</w:t>
      </w:r>
    </w:p>
    <w:p w14:paraId="645DDB83" w14:textId="7FBB0C86" w:rsidR="00195703" w:rsidRDefault="00195703" w:rsidP="00592951">
      <w:pPr>
        <w:jc w:val="both"/>
        <w:rPr>
          <w:rFonts w:ascii="Arial" w:eastAsia="Aptos" w:hAnsi="Arial" w:cs="Arial"/>
          <w:sz w:val="16"/>
          <w:szCs w:val="16"/>
          <w:lang w:val="el-GR" w:bidi="he-IL"/>
        </w:rPr>
      </w:pPr>
    </w:p>
    <w:p w14:paraId="45DC6C03" w14:textId="34288855" w:rsidR="00195703" w:rsidRDefault="00195703" w:rsidP="00592951">
      <w:pPr>
        <w:jc w:val="both"/>
        <w:rPr>
          <w:rFonts w:ascii="Arial" w:eastAsia="Aptos" w:hAnsi="Arial" w:cs="Arial"/>
          <w:sz w:val="16"/>
          <w:szCs w:val="16"/>
          <w:lang w:val="el-GR" w:bidi="he-IL"/>
        </w:rPr>
      </w:pPr>
    </w:p>
    <w:sectPr w:rsidR="00195703">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E630" w14:textId="77777777" w:rsidR="00D34BFD" w:rsidRDefault="00D34BFD" w:rsidP="003957C3">
      <w:r>
        <w:separator/>
      </w:r>
    </w:p>
  </w:endnote>
  <w:endnote w:type="continuationSeparator" w:id="0">
    <w:p w14:paraId="24672252" w14:textId="77777777" w:rsidR="00D34BFD" w:rsidRDefault="00D34BFD" w:rsidP="0039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9E1D" w14:textId="3FB71935" w:rsidR="003957C3" w:rsidRDefault="003957C3" w:rsidP="003957C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3651" w14:textId="77777777" w:rsidR="00D34BFD" w:rsidRDefault="00D34BFD" w:rsidP="003957C3">
      <w:r>
        <w:separator/>
      </w:r>
    </w:p>
  </w:footnote>
  <w:footnote w:type="continuationSeparator" w:id="0">
    <w:p w14:paraId="23006D80" w14:textId="77777777" w:rsidR="00D34BFD" w:rsidRDefault="00D34BFD" w:rsidP="00395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CF57" w14:textId="2EE9BF1C" w:rsidR="00941ACD" w:rsidRPr="00941ACD" w:rsidRDefault="00941ACD" w:rsidP="00941ACD">
    <w:pPr>
      <w:pStyle w:val="Header"/>
      <w:rPr>
        <w:rFonts w:asciiTheme="minorHAnsi" w:hAnsiTheme="minorHAnsi" w:cstheme="minorBidi"/>
        <w:szCs w:val="24"/>
        <w:lang w:val="el-GR"/>
      </w:rPr>
    </w:pPr>
    <w:r>
      <w:rPr>
        <w:noProof/>
      </w:rPr>
      <w:drawing>
        <wp:anchor distT="0" distB="0" distL="114300" distR="114300" simplePos="0" relativeHeight="251659264" behindDoc="0" locked="0" layoutInCell="1" allowOverlap="1" wp14:anchorId="75BD9194" wp14:editId="5789AC93">
          <wp:simplePos x="0" y="0"/>
          <wp:positionH relativeFrom="margin">
            <wp:posOffset>3895725</wp:posOffset>
          </wp:positionH>
          <wp:positionV relativeFrom="paragraph">
            <wp:posOffset>23495</wp:posOffset>
          </wp:positionV>
          <wp:extent cx="1872615" cy="436245"/>
          <wp:effectExtent l="0" t="0" r="0" b="1905"/>
          <wp:wrapSquare wrapText="bothSides"/>
          <wp:docPr id="561343929"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43929" name="Picture 3"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436245"/>
                  </a:xfrm>
                  <a:prstGeom prst="rect">
                    <a:avLst/>
                  </a:prstGeom>
                  <a:noFill/>
                  <a:ln>
                    <a:noFill/>
                  </a:ln>
                </pic:spPr>
              </pic:pic>
            </a:graphicData>
          </a:graphic>
        </wp:anchor>
      </w:drawing>
    </w:r>
    <w:r w:rsidRPr="00941ACD">
      <w:rPr>
        <w:rFonts w:ascii="Arial" w:hAnsi="Arial" w:cs="Arial"/>
        <w:b/>
        <w:bCs/>
        <w:sz w:val="28"/>
        <w:szCs w:val="28"/>
        <w:lang w:val="el-GR"/>
      </w:rPr>
      <w:t>Δελτίο Τύπου</w:t>
    </w:r>
  </w:p>
  <w:p w14:paraId="33A22D99" w14:textId="104C5059" w:rsidR="00941ACD" w:rsidRPr="00941ACD" w:rsidRDefault="00941ACD" w:rsidP="00941ACD">
    <w:pPr>
      <w:pStyle w:val="Header"/>
      <w:rPr>
        <w:rFonts w:ascii="Arial" w:hAnsi="Arial" w:cs="Arial"/>
        <w:sz w:val="18"/>
        <w:szCs w:val="18"/>
        <w:lang w:val="el-GR"/>
      </w:rPr>
    </w:pPr>
    <w:r w:rsidRPr="00941ACD">
      <w:rPr>
        <w:b/>
        <w:bCs/>
        <w:sz w:val="18"/>
        <w:szCs w:val="18"/>
        <w:lang w:val="el-GR"/>
      </w:rPr>
      <w:t xml:space="preserve">Ελβετία | </w:t>
    </w:r>
    <w:r w:rsidR="00790980">
      <w:rPr>
        <w:b/>
        <w:bCs/>
        <w:sz w:val="18"/>
        <w:szCs w:val="18"/>
        <w:lang w:val="el-GR"/>
      </w:rPr>
      <w:t>24</w:t>
    </w:r>
    <w:r w:rsidR="004D7F24">
      <w:rPr>
        <w:b/>
        <w:bCs/>
        <w:sz w:val="18"/>
        <w:szCs w:val="18"/>
        <w:lang w:val="el-GR"/>
      </w:rPr>
      <w:t xml:space="preserve"> </w:t>
    </w:r>
    <w:r w:rsidR="00A76F4A">
      <w:rPr>
        <w:b/>
        <w:bCs/>
        <w:sz w:val="18"/>
        <w:szCs w:val="18"/>
        <w:lang w:val="el-GR"/>
      </w:rPr>
      <w:t>Απριλίου</w:t>
    </w:r>
    <w:r w:rsidRPr="00941ACD">
      <w:rPr>
        <w:b/>
        <w:bCs/>
        <w:sz w:val="18"/>
        <w:szCs w:val="18"/>
        <w:lang w:val="el-GR"/>
      </w:rPr>
      <w:t xml:space="preserve"> 2026</w:t>
    </w:r>
    <w:r w:rsidRPr="0016796C">
      <w:rPr>
        <w:rFonts w:ascii="Arial" w:hAnsi="Arial" w:cs="Arial"/>
        <w:sz w:val="18"/>
        <w:szCs w:val="18"/>
      </w:rPr>
      <w:t> </w:t>
    </w:r>
  </w:p>
  <w:p w14:paraId="5A53642B" w14:textId="33E3380B" w:rsidR="003957C3" w:rsidRPr="00941ACD" w:rsidRDefault="00941ACD" w:rsidP="00941ACD">
    <w:pPr>
      <w:pStyle w:val="Header"/>
      <w:rPr>
        <w:rFonts w:ascii="Arial" w:hAnsi="Arial" w:cs="Arial"/>
        <w:sz w:val="18"/>
        <w:szCs w:val="18"/>
        <w:lang w:val="el-GR"/>
      </w:rPr>
    </w:pPr>
    <w:r w:rsidRPr="0016796C">
      <w:rPr>
        <w:rFonts w:ascii="Arial" w:hAnsi="Arial" w:cs="Arial"/>
        <w:sz w:val="18"/>
        <w:szCs w:val="18"/>
      </w:rPr>
      <w:t>Ad</w:t>
    </w:r>
    <w:r w:rsidRPr="00941ACD">
      <w:rPr>
        <w:rFonts w:ascii="Arial" w:hAnsi="Arial" w:cs="Arial"/>
        <w:sz w:val="18"/>
        <w:szCs w:val="18"/>
        <w:lang w:val="el-GR"/>
      </w:rPr>
      <w:t xml:space="preserve"> </w:t>
    </w:r>
    <w:r w:rsidRPr="0016796C">
      <w:rPr>
        <w:rFonts w:ascii="Arial" w:hAnsi="Arial" w:cs="Arial"/>
        <w:sz w:val="18"/>
        <w:szCs w:val="18"/>
      </w:rPr>
      <w:t>hoc</w:t>
    </w:r>
    <w:r w:rsidRPr="00941ACD">
      <w:rPr>
        <w:rFonts w:ascii="Arial" w:hAnsi="Arial" w:cs="Arial"/>
        <w:sz w:val="18"/>
        <w:szCs w:val="18"/>
        <w:lang w:val="el-GR"/>
      </w:rPr>
      <w:t xml:space="preserve"> ανακοίνωση σύμφωνα με το Άρθρο 53 </w:t>
    </w:r>
    <w:r w:rsidRPr="0016796C">
      <w:rPr>
        <w:rFonts w:ascii="Arial" w:hAnsi="Arial" w:cs="Arial"/>
        <w:sz w:val="18"/>
        <w:szCs w:val="18"/>
      </w:rPr>
      <w:t>LR</w:t>
    </w:r>
    <w:r w:rsidRPr="00941ACD">
      <w:rPr>
        <w:rFonts w:ascii="Arial" w:hAnsi="Arial" w:cs="Arial"/>
        <w:sz w:val="18"/>
        <w:szCs w:val="18"/>
        <w:lang w:val="el-GR"/>
      </w:rPr>
      <w:t xml:space="preserve">                      </w:t>
    </w:r>
  </w:p>
  <w:p w14:paraId="5AB7E75E" w14:textId="5C33D571" w:rsidR="002049B8" w:rsidRPr="002049B8" w:rsidRDefault="002049B8" w:rsidP="002049B8">
    <w:pPr>
      <w:pStyle w:val="Header"/>
      <w:jc w:val="right"/>
      <w:rPr>
        <w:lang w:val="el-GR"/>
      </w:rPr>
    </w:pPr>
  </w:p>
  <w:p w14:paraId="4B903727" w14:textId="45FDA22B" w:rsidR="002049B8" w:rsidRPr="002049B8" w:rsidRDefault="00941ACD">
    <w:pPr>
      <w:pStyle w:val="Header"/>
      <w:rPr>
        <w:lang w:val="el-GR"/>
      </w:rPr>
    </w:pPr>
    <w:r>
      <w:rPr>
        <w:noProof/>
      </w:rPr>
      <w:drawing>
        <wp:inline distT="0" distB="0" distL="0" distR="0" wp14:anchorId="2E4329E2" wp14:editId="6A0A00CD">
          <wp:extent cx="5274310" cy="130810"/>
          <wp:effectExtent l="0" t="0" r="2540" b="2540"/>
          <wp:docPr id="1130963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4310" cy="130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4881"/>
    <w:multiLevelType w:val="multilevel"/>
    <w:tmpl w:val="826C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E537D"/>
    <w:multiLevelType w:val="multilevel"/>
    <w:tmpl w:val="49FA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23E74"/>
    <w:multiLevelType w:val="multilevel"/>
    <w:tmpl w:val="5026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675D5"/>
    <w:multiLevelType w:val="hybridMultilevel"/>
    <w:tmpl w:val="962C9E38"/>
    <w:lvl w:ilvl="0" w:tplc="1C2E64BA">
      <w:start w:val="3"/>
      <w:numFmt w:val="bullet"/>
      <w:lvlText w:val="-"/>
      <w:lvlJc w:val="left"/>
      <w:pPr>
        <w:ind w:left="480" w:hanging="360"/>
      </w:pPr>
      <w:rPr>
        <w:rFonts w:ascii="Times New Roman" w:eastAsia="Times New Roman" w:hAnsi="Times New Roman" w:cs="Times New Roman" w:hint="default"/>
      </w:rPr>
    </w:lvl>
    <w:lvl w:ilvl="1" w:tplc="04080003" w:tentative="1">
      <w:start w:val="1"/>
      <w:numFmt w:val="bullet"/>
      <w:lvlText w:val="o"/>
      <w:lvlJc w:val="left"/>
      <w:pPr>
        <w:ind w:left="1200" w:hanging="360"/>
      </w:pPr>
      <w:rPr>
        <w:rFonts w:ascii="Courier New" w:hAnsi="Courier New" w:cs="Courier New" w:hint="default"/>
      </w:rPr>
    </w:lvl>
    <w:lvl w:ilvl="2" w:tplc="04080005" w:tentative="1">
      <w:start w:val="1"/>
      <w:numFmt w:val="bullet"/>
      <w:lvlText w:val=""/>
      <w:lvlJc w:val="left"/>
      <w:pPr>
        <w:ind w:left="1920" w:hanging="360"/>
      </w:pPr>
      <w:rPr>
        <w:rFonts w:ascii="Wingdings" w:hAnsi="Wingdings" w:hint="default"/>
      </w:rPr>
    </w:lvl>
    <w:lvl w:ilvl="3" w:tplc="04080001" w:tentative="1">
      <w:start w:val="1"/>
      <w:numFmt w:val="bullet"/>
      <w:lvlText w:val=""/>
      <w:lvlJc w:val="left"/>
      <w:pPr>
        <w:ind w:left="2640" w:hanging="360"/>
      </w:pPr>
      <w:rPr>
        <w:rFonts w:ascii="Symbol" w:hAnsi="Symbol" w:hint="default"/>
      </w:rPr>
    </w:lvl>
    <w:lvl w:ilvl="4" w:tplc="04080003" w:tentative="1">
      <w:start w:val="1"/>
      <w:numFmt w:val="bullet"/>
      <w:lvlText w:val="o"/>
      <w:lvlJc w:val="left"/>
      <w:pPr>
        <w:ind w:left="3360" w:hanging="360"/>
      </w:pPr>
      <w:rPr>
        <w:rFonts w:ascii="Courier New" w:hAnsi="Courier New" w:cs="Courier New" w:hint="default"/>
      </w:rPr>
    </w:lvl>
    <w:lvl w:ilvl="5" w:tplc="04080005" w:tentative="1">
      <w:start w:val="1"/>
      <w:numFmt w:val="bullet"/>
      <w:lvlText w:val=""/>
      <w:lvlJc w:val="left"/>
      <w:pPr>
        <w:ind w:left="4080" w:hanging="360"/>
      </w:pPr>
      <w:rPr>
        <w:rFonts w:ascii="Wingdings" w:hAnsi="Wingdings" w:hint="default"/>
      </w:rPr>
    </w:lvl>
    <w:lvl w:ilvl="6" w:tplc="04080001" w:tentative="1">
      <w:start w:val="1"/>
      <w:numFmt w:val="bullet"/>
      <w:lvlText w:val=""/>
      <w:lvlJc w:val="left"/>
      <w:pPr>
        <w:ind w:left="4800" w:hanging="360"/>
      </w:pPr>
      <w:rPr>
        <w:rFonts w:ascii="Symbol" w:hAnsi="Symbol" w:hint="default"/>
      </w:rPr>
    </w:lvl>
    <w:lvl w:ilvl="7" w:tplc="04080003" w:tentative="1">
      <w:start w:val="1"/>
      <w:numFmt w:val="bullet"/>
      <w:lvlText w:val="o"/>
      <w:lvlJc w:val="left"/>
      <w:pPr>
        <w:ind w:left="5520" w:hanging="360"/>
      </w:pPr>
      <w:rPr>
        <w:rFonts w:ascii="Courier New" w:hAnsi="Courier New" w:cs="Courier New" w:hint="default"/>
      </w:rPr>
    </w:lvl>
    <w:lvl w:ilvl="8" w:tplc="04080005" w:tentative="1">
      <w:start w:val="1"/>
      <w:numFmt w:val="bullet"/>
      <w:lvlText w:val=""/>
      <w:lvlJc w:val="left"/>
      <w:pPr>
        <w:ind w:left="6240" w:hanging="360"/>
      </w:pPr>
      <w:rPr>
        <w:rFonts w:ascii="Wingdings" w:hAnsi="Wingdings" w:hint="default"/>
      </w:rPr>
    </w:lvl>
  </w:abstractNum>
  <w:abstractNum w:abstractNumId="4" w15:restartNumberingAfterBreak="0">
    <w:nsid w:val="521B1CA6"/>
    <w:multiLevelType w:val="hybridMultilevel"/>
    <w:tmpl w:val="C33A3708"/>
    <w:lvl w:ilvl="0" w:tplc="CE04053A">
      <w:start w:val="3"/>
      <w:numFmt w:val="bullet"/>
      <w:lvlText w:val="-"/>
      <w:lvlJc w:val="left"/>
      <w:pPr>
        <w:ind w:left="720" w:hanging="360"/>
      </w:pPr>
      <w:rPr>
        <w:rFonts w:ascii="Times New Roman" w:eastAsia="Times"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6497866"/>
    <w:multiLevelType w:val="hybridMultilevel"/>
    <w:tmpl w:val="7F3A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93AE8"/>
    <w:multiLevelType w:val="hybridMultilevel"/>
    <w:tmpl w:val="4C2ED052"/>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7" w15:restartNumberingAfterBreak="0">
    <w:nsid w:val="628F569E"/>
    <w:multiLevelType w:val="multilevel"/>
    <w:tmpl w:val="8A94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64AC9"/>
    <w:multiLevelType w:val="multilevel"/>
    <w:tmpl w:val="964C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20F1A"/>
    <w:multiLevelType w:val="multilevel"/>
    <w:tmpl w:val="FB46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948DD"/>
    <w:multiLevelType w:val="multilevel"/>
    <w:tmpl w:val="00E6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140311">
    <w:abstractNumId w:val="0"/>
  </w:num>
  <w:num w:numId="2" w16cid:durableId="1390882330">
    <w:abstractNumId w:val="10"/>
  </w:num>
  <w:num w:numId="3" w16cid:durableId="749928784">
    <w:abstractNumId w:val="1"/>
  </w:num>
  <w:num w:numId="4" w16cid:durableId="24410721">
    <w:abstractNumId w:val="6"/>
  </w:num>
  <w:num w:numId="5" w16cid:durableId="795414547">
    <w:abstractNumId w:val="5"/>
  </w:num>
  <w:num w:numId="6" w16cid:durableId="791169409">
    <w:abstractNumId w:val="8"/>
  </w:num>
  <w:num w:numId="7" w16cid:durableId="1848054647">
    <w:abstractNumId w:val="9"/>
  </w:num>
  <w:num w:numId="8" w16cid:durableId="2122063963">
    <w:abstractNumId w:val="7"/>
  </w:num>
  <w:num w:numId="9" w16cid:durableId="1391731251">
    <w:abstractNumId w:val="2"/>
  </w:num>
  <w:num w:numId="10" w16cid:durableId="600533847">
    <w:abstractNumId w:val="3"/>
  </w:num>
  <w:num w:numId="11" w16cid:durableId="1095129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42"/>
    <w:rsid w:val="000145B5"/>
    <w:rsid w:val="00022931"/>
    <w:rsid w:val="00042723"/>
    <w:rsid w:val="00053487"/>
    <w:rsid w:val="00061B2B"/>
    <w:rsid w:val="0007345E"/>
    <w:rsid w:val="00075547"/>
    <w:rsid w:val="000B3F0E"/>
    <w:rsid w:val="000D555A"/>
    <w:rsid w:val="000F149C"/>
    <w:rsid w:val="00107599"/>
    <w:rsid w:val="00107A22"/>
    <w:rsid w:val="00143723"/>
    <w:rsid w:val="00151289"/>
    <w:rsid w:val="00173C33"/>
    <w:rsid w:val="00191E7E"/>
    <w:rsid w:val="0019241A"/>
    <w:rsid w:val="00195703"/>
    <w:rsid w:val="001A72DB"/>
    <w:rsid w:val="001D2200"/>
    <w:rsid w:val="001E12CE"/>
    <w:rsid w:val="002049B8"/>
    <w:rsid w:val="002269A0"/>
    <w:rsid w:val="00256B53"/>
    <w:rsid w:val="0029102D"/>
    <w:rsid w:val="002971D4"/>
    <w:rsid w:val="002A1204"/>
    <w:rsid w:val="003013B9"/>
    <w:rsid w:val="003422EF"/>
    <w:rsid w:val="00394141"/>
    <w:rsid w:val="003957C3"/>
    <w:rsid w:val="003A54F5"/>
    <w:rsid w:val="003D3FE8"/>
    <w:rsid w:val="003E223D"/>
    <w:rsid w:val="003E3ABE"/>
    <w:rsid w:val="00407E26"/>
    <w:rsid w:val="00413A88"/>
    <w:rsid w:val="00423BA4"/>
    <w:rsid w:val="00437C25"/>
    <w:rsid w:val="00461B83"/>
    <w:rsid w:val="004878FE"/>
    <w:rsid w:val="004A55A6"/>
    <w:rsid w:val="004A6BAF"/>
    <w:rsid w:val="004B5947"/>
    <w:rsid w:val="004C13F2"/>
    <w:rsid w:val="004D5CBB"/>
    <w:rsid w:val="004D7F24"/>
    <w:rsid w:val="005129E9"/>
    <w:rsid w:val="005138E3"/>
    <w:rsid w:val="00531C3C"/>
    <w:rsid w:val="00534F2F"/>
    <w:rsid w:val="00537C65"/>
    <w:rsid w:val="00545E65"/>
    <w:rsid w:val="0056583C"/>
    <w:rsid w:val="00575BD1"/>
    <w:rsid w:val="00575FCB"/>
    <w:rsid w:val="00586AB8"/>
    <w:rsid w:val="00592951"/>
    <w:rsid w:val="00593C8E"/>
    <w:rsid w:val="005A321C"/>
    <w:rsid w:val="005A5CB1"/>
    <w:rsid w:val="005B1920"/>
    <w:rsid w:val="005E49D9"/>
    <w:rsid w:val="005F0A82"/>
    <w:rsid w:val="005F4626"/>
    <w:rsid w:val="00677A73"/>
    <w:rsid w:val="00684204"/>
    <w:rsid w:val="00684D0E"/>
    <w:rsid w:val="00685420"/>
    <w:rsid w:val="006A4CB1"/>
    <w:rsid w:val="006A7BBC"/>
    <w:rsid w:val="006B7873"/>
    <w:rsid w:val="006C72AF"/>
    <w:rsid w:val="00704A5F"/>
    <w:rsid w:val="00724B4D"/>
    <w:rsid w:val="0074410D"/>
    <w:rsid w:val="00765B3F"/>
    <w:rsid w:val="00790980"/>
    <w:rsid w:val="00792557"/>
    <w:rsid w:val="00797A01"/>
    <w:rsid w:val="007C50BC"/>
    <w:rsid w:val="008305D8"/>
    <w:rsid w:val="00841536"/>
    <w:rsid w:val="00885A87"/>
    <w:rsid w:val="00893E74"/>
    <w:rsid w:val="008940E0"/>
    <w:rsid w:val="008A72A2"/>
    <w:rsid w:val="008C086D"/>
    <w:rsid w:val="008C14E5"/>
    <w:rsid w:val="0090438B"/>
    <w:rsid w:val="009069BB"/>
    <w:rsid w:val="00921E5D"/>
    <w:rsid w:val="00940780"/>
    <w:rsid w:val="00941ACD"/>
    <w:rsid w:val="0094590B"/>
    <w:rsid w:val="0095614D"/>
    <w:rsid w:val="009614F5"/>
    <w:rsid w:val="00964CBE"/>
    <w:rsid w:val="00966472"/>
    <w:rsid w:val="00974E9D"/>
    <w:rsid w:val="0098127E"/>
    <w:rsid w:val="009A3670"/>
    <w:rsid w:val="009D6A10"/>
    <w:rsid w:val="009F6EE4"/>
    <w:rsid w:val="00A76F4A"/>
    <w:rsid w:val="00A82B19"/>
    <w:rsid w:val="00A94A18"/>
    <w:rsid w:val="00A96FB3"/>
    <w:rsid w:val="00AB5D82"/>
    <w:rsid w:val="00AB7309"/>
    <w:rsid w:val="00B1093E"/>
    <w:rsid w:val="00B501E1"/>
    <w:rsid w:val="00B74A25"/>
    <w:rsid w:val="00B92A2B"/>
    <w:rsid w:val="00C504D1"/>
    <w:rsid w:val="00C66B71"/>
    <w:rsid w:val="00C72D86"/>
    <w:rsid w:val="00C86E82"/>
    <w:rsid w:val="00CB0BE7"/>
    <w:rsid w:val="00CB7192"/>
    <w:rsid w:val="00CC750D"/>
    <w:rsid w:val="00CD7622"/>
    <w:rsid w:val="00CE0E5E"/>
    <w:rsid w:val="00CE4530"/>
    <w:rsid w:val="00D2172B"/>
    <w:rsid w:val="00D21880"/>
    <w:rsid w:val="00D33F98"/>
    <w:rsid w:val="00D34BFD"/>
    <w:rsid w:val="00D4076E"/>
    <w:rsid w:val="00D61FE0"/>
    <w:rsid w:val="00D670C3"/>
    <w:rsid w:val="00DA59D4"/>
    <w:rsid w:val="00DB29EA"/>
    <w:rsid w:val="00DF5CFD"/>
    <w:rsid w:val="00E00842"/>
    <w:rsid w:val="00E267B1"/>
    <w:rsid w:val="00E319A8"/>
    <w:rsid w:val="00E321BC"/>
    <w:rsid w:val="00E40EB6"/>
    <w:rsid w:val="00E51384"/>
    <w:rsid w:val="00E90BAC"/>
    <w:rsid w:val="00EB66D1"/>
    <w:rsid w:val="00F204A3"/>
    <w:rsid w:val="00F40851"/>
    <w:rsid w:val="00F62436"/>
    <w:rsid w:val="00F81104"/>
    <w:rsid w:val="00FA1469"/>
    <w:rsid w:val="00FD6DAC"/>
    <w:rsid w:val="00FF0073"/>
    <w:rsid w:val="00FF6B0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9BA1"/>
  <w15:chartTrackingRefBased/>
  <w15:docId w15:val="{7194B4AC-2FED-4152-B97B-5407315D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723"/>
    <w:rPr>
      <w:sz w:val="24"/>
      <w:lang w:val="en-US"/>
    </w:rPr>
  </w:style>
  <w:style w:type="paragraph" w:styleId="Heading1">
    <w:name w:val="heading 1"/>
    <w:basedOn w:val="Normal"/>
    <w:next w:val="Normal"/>
    <w:link w:val="Heading1Char"/>
    <w:qFormat/>
    <w:rsid w:val="00042723"/>
    <w:pPr>
      <w:keepNext/>
      <w:spacing w:before="240" w:after="60"/>
      <w:outlineLvl w:val="0"/>
    </w:pPr>
    <w:rPr>
      <w:rFonts w:ascii="Helvetica" w:hAnsi="Helvetica"/>
      <w:b/>
      <w:kern w:val="32"/>
      <w:sz w:val="32"/>
    </w:rPr>
  </w:style>
  <w:style w:type="paragraph" w:styleId="Heading2">
    <w:name w:val="heading 2"/>
    <w:basedOn w:val="Normal"/>
    <w:next w:val="Normal"/>
    <w:link w:val="Heading2Char"/>
    <w:semiHidden/>
    <w:unhideWhenUsed/>
    <w:qFormat/>
    <w:rsid w:val="00DA59D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23"/>
    <w:rPr>
      <w:rFonts w:ascii="Helvetica" w:hAnsi="Helvetica"/>
      <w:b/>
      <w:kern w:val="32"/>
      <w:sz w:val="32"/>
      <w:lang w:val="en-US"/>
    </w:rPr>
  </w:style>
  <w:style w:type="paragraph" w:styleId="ListParagraph">
    <w:name w:val="List Paragraph"/>
    <w:basedOn w:val="Normal"/>
    <w:qFormat/>
    <w:rsid w:val="00042723"/>
    <w:pPr>
      <w:ind w:left="720"/>
      <w:jc w:val="both"/>
    </w:pPr>
    <w:rPr>
      <w:rFonts w:ascii="Arial" w:eastAsia="Times New Roman" w:hAnsi="Arial"/>
      <w:bCs/>
      <w:sz w:val="22"/>
      <w:lang w:val="en-GB"/>
    </w:rPr>
  </w:style>
  <w:style w:type="paragraph" w:styleId="NormalWeb">
    <w:name w:val="Normal (Web)"/>
    <w:basedOn w:val="Normal"/>
    <w:uiPriority w:val="99"/>
    <w:unhideWhenUsed/>
    <w:rsid w:val="00E00842"/>
    <w:pPr>
      <w:spacing w:before="100" w:beforeAutospacing="1" w:after="100" w:afterAutospacing="1"/>
    </w:pPr>
    <w:rPr>
      <w:rFonts w:ascii="Times New Roman" w:eastAsia="Times New Roman" w:hAnsi="Times New Roman"/>
      <w:szCs w:val="24"/>
      <w:lang w:val="el-GR" w:eastAsia="el-GR"/>
    </w:rPr>
  </w:style>
  <w:style w:type="character" w:styleId="Strong">
    <w:name w:val="Strong"/>
    <w:basedOn w:val="DefaultParagraphFont"/>
    <w:uiPriority w:val="22"/>
    <w:qFormat/>
    <w:rsid w:val="00E00842"/>
    <w:rPr>
      <w:b/>
      <w:bCs/>
    </w:rPr>
  </w:style>
  <w:style w:type="paragraph" w:styleId="Header">
    <w:name w:val="header"/>
    <w:basedOn w:val="Normal"/>
    <w:link w:val="HeaderChar"/>
    <w:uiPriority w:val="99"/>
    <w:unhideWhenUsed/>
    <w:rsid w:val="003957C3"/>
    <w:pPr>
      <w:tabs>
        <w:tab w:val="center" w:pos="4153"/>
        <w:tab w:val="right" w:pos="8306"/>
      </w:tabs>
    </w:pPr>
  </w:style>
  <w:style w:type="character" w:customStyle="1" w:styleId="HeaderChar">
    <w:name w:val="Header Char"/>
    <w:basedOn w:val="DefaultParagraphFont"/>
    <w:link w:val="Header"/>
    <w:uiPriority w:val="99"/>
    <w:rsid w:val="003957C3"/>
    <w:rPr>
      <w:sz w:val="24"/>
      <w:lang w:val="en-US"/>
    </w:rPr>
  </w:style>
  <w:style w:type="paragraph" w:styleId="Footer">
    <w:name w:val="footer"/>
    <w:basedOn w:val="Normal"/>
    <w:link w:val="FooterChar"/>
    <w:uiPriority w:val="99"/>
    <w:unhideWhenUsed/>
    <w:rsid w:val="003957C3"/>
    <w:pPr>
      <w:tabs>
        <w:tab w:val="center" w:pos="4153"/>
        <w:tab w:val="right" w:pos="8306"/>
      </w:tabs>
    </w:pPr>
  </w:style>
  <w:style w:type="character" w:customStyle="1" w:styleId="FooterChar">
    <w:name w:val="Footer Char"/>
    <w:basedOn w:val="DefaultParagraphFont"/>
    <w:link w:val="Footer"/>
    <w:uiPriority w:val="99"/>
    <w:rsid w:val="003957C3"/>
    <w:rPr>
      <w:sz w:val="24"/>
      <w:lang w:val="en-US"/>
    </w:rPr>
  </w:style>
  <w:style w:type="character" w:styleId="Emphasis">
    <w:name w:val="Emphasis"/>
    <w:basedOn w:val="DefaultParagraphFont"/>
    <w:uiPriority w:val="20"/>
    <w:qFormat/>
    <w:rsid w:val="009069BB"/>
    <w:rPr>
      <w:i/>
      <w:iCs/>
    </w:rPr>
  </w:style>
  <w:style w:type="paragraph" w:customStyle="1" w:styleId="Default">
    <w:name w:val="Default"/>
    <w:rsid w:val="00592951"/>
    <w:pPr>
      <w:autoSpaceDE w:val="0"/>
      <w:autoSpaceDN w:val="0"/>
      <w:adjustRightInd w:val="0"/>
    </w:pPr>
    <w:rPr>
      <w:rFonts w:ascii="Arial" w:hAnsi="Arial" w:cs="Arial"/>
      <w:color w:val="000000"/>
      <w:sz w:val="24"/>
      <w:szCs w:val="24"/>
      <w:lang w:val="en-US" w:bidi="he-IL"/>
    </w:rPr>
  </w:style>
  <w:style w:type="character" w:styleId="Hyperlink">
    <w:name w:val="Hyperlink"/>
    <w:basedOn w:val="DefaultParagraphFont"/>
    <w:uiPriority w:val="99"/>
    <w:unhideWhenUsed/>
    <w:rsid w:val="00592951"/>
    <w:rPr>
      <w:color w:val="0563C1" w:themeColor="hyperlink"/>
      <w:u w:val="single"/>
    </w:rPr>
  </w:style>
  <w:style w:type="character" w:styleId="UnresolvedMention">
    <w:name w:val="Unresolved Mention"/>
    <w:basedOn w:val="DefaultParagraphFont"/>
    <w:uiPriority w:val="99"/>
    <w:semiHidden/>
    <w:unhideWhenUsed/>
    <w:rsid w:val="00592951"/>
    <w:rPr>
      <w:color w:val="605E5C"/>
      <w:shd w:val="clear" w:color="auto" w:fill="E1DFDD"/>
    </w:rPr>
  </w:style>
  <w:style w:type="character" w:customStyle="1" w:styleId="Heading2Char">
    <w:name w:val="Heading 2 Char"/>
    <w:basedOn w:val="DefaultParagraphFont"/>
    <w:link w:val="Heading2"/>
    <w:semiHidden/>
    <w:rsid w:val="00DA59D4"/>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0028">
      <w:bodyDiv w:val="1"/>
      <w:marLeft w:val="0"/>
      <w:marRight w:val="0"/>
      <w:marTop w:val="0"/>
      <w:marBottom w:val="0"/>
      <w:divBdr>
        <w:top w:val="none" w:sz="0" w:space="0" w:color="auto"/>
        <w:left w:val="none" w:sz="0" w:space="0" w:color="auto"/>
        <w:bottom w:val="none" w:sz="0" w:space="0" w:color="auto"/>
        <w:right w:val="none" w:sz="0" w:space="0" w:color="auto"/>
      </w:divBdr>
    </w:div>
    <w:div w:id="651644869">
      <w:bodyDiv w:val="1"/>
      <w:marLeft w:val="0"/>
      <w:marRight w:val="0"/>
      <w:marTop w:val="0"/>
      <w:marBottom w:val="0"/>
      <w:divBdr>
        <w:top w:val="none" w:sz="0" w:space="0" w:color="auto"/>
        <w:left w:val="none" w:sz="0" w:space="0" w:color="auto"/>
        <w:bottom w:val="none" w:sz="0" w:space="0" w:color="auto"/>
        <w:right w:val="none" w:sz="0" w:space="0" w:color="auto"/>
      </w:divBdr>
    </w:div>
    <w:div w:id="988828975">
      <w:bodyDiv w:val="1"/>
      <w:marLeft w:val="0"/>
      <w:marRight w:val="0"/>
      <w:marTop w:val="0"/>
      <w:marBottom w:val="0"/>
      <w:divBdr>
        <w:top w:val="none" w:sz="0" w:space="0" w:color="auto"/>
        <w:left w:val="none" w:sz="0" w:space="0" w:color="auto"/>
        <w:bottom w:val="none" w:sz="0" w:space="0" w:color="auto"/>
        <w:right w:val="none" w:sz="0" w:space="0" w:color="auto"/>
      </w:divBdr>
      <w:divsChild>
        <w:div w:id="881862598">
          <w:marLeft w:val="0"/>
          <w:marRight w:val="0"/>
          <w:marTop w:val="0"/>
          <w:marBottom w:val="0"/>
          <w:divBdr>
            <w:top w:val="none" w:sz="0" w:space="0" w:color="auto"/>
            <w:left w:val="none" w:sz="0" w:space="0" w:color="auto"/>
            <w:bottom w:val="none" w:sz="0" w:space="0" w:color="auto"/>
            <w:right w:val="none" w:sz="0" w:space="0" w:color="auto"/>
          </w:divBdr>
          <w:divsChild>
            <w:div w:id="1008992424">
              <w:marLeft w:val="0"/>
              <w:marRight w:val="0"/>
              <w:marTop w:val="0"/>
              <w:marBottom w:val="0"/>
              <w:divBdr>
                <w:top w:val="none" w:sz="0" w:space="0" w:color="auto"/>
                <w:left w:val="none" w:sz="0" w:space="0" w:color="auto"/>
                <w:bottom w:val="none" w:sz="0" w:space="0" w:color="auto"/>
                <w:right w:val="none" w:sz="0" w:space="0" w:color="auto"/>
              </w:divBdr>
              <w:divsChild>
                <w:div w:id="12109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5319">
      <w:bodyDiv w:val="1"/>
      <w:marLeft w:val="0"/>
      <w:marRight w:val="0"/>
      <w:marTop w:val="0"/>
      <w:marBottom w:val="0"/>
      <w:divBdr>
        <w:top w:val="none" w:sz="0" w:space="0" w:color="auto"/>
        <w:left w:val="none" w:sz="0" w:space="0" w:color="auto"/>
        <w:bottom w:val="none" w:sz="0" w:space="0" w:color="auto"/>
        <w:right w:val="none" w:sz="0" w:space="0" w:color="auto"/>
      </w:divBdr>
    </w:div>
    <w:div w:id="208621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ci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company/holcim/posts/?feedView=a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D0F40-739D-430B-8B71-621FA1B7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1239</Words>
  <Characters>7386</Characters>
  <Application>Microsoft Office Word</Application>
  <DocSecurity>0</DocSecurity>
  <Lines>211</Lines>
  <Paragraphs>94</Paragraphs>
  <ScaleCrop>false</ScaleCrop>
  <HeadingPairs>
    <vt:vector size="2" baseType="variant">
      <vt:variant>
        <vt:lpstr>Title</vt:lpstr>
      </vt:variant>
      <vt:variant>
        <vt:i4>1</vt:i4>
      </vt:variant>
    </vt:vector>
  </HeadingPairs>
  <TitlesOfParts>
    <vt:vector size="1" baseType="lpstr">
      <vt:lpstr/>
    </vt:vector>
  </TitlesOfParts>
  <Company>AGET GGCo</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MANOU</dc:creator>
  <cp:keywords/>
  <dc:description/>
  <cp:lastModifiedBy>Skaza, Leia (ATH-WSW)</cp:lastModifiedBy>
  <cp:revision>2</cp:revision>
  <dcterms:created xsi:type="dcterms:W3CDTF">2026-04-28T08:38:00Z</dcterms:created>
  <dcterms:modified xsi:type="dcterms:W3CDTF">2026-04-28T08:38:00Z</dcterms:modified>
</cp:coreProperties>
</file>