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60" w:line="276"/>
        <w:ind w:right="0" w:left="0" w:firstLine="0"/>
        <w:jc w:val="left"/>
        <w:rPr>
          <w:rFonts w:ascii="Times New Roman" w:hAnsi="Times New Roman" w:cs="Times New Roman" w:eastAsia="Times New Roman"/>
          <w:color w:val="auto"/>
          <w:spacing w:val="0"/>
          <w:position w:val="0"/>
          <w:sz w:val="24"/>
          <w:shd w:fill="auto" w:val="clear"/>
        </w:rPr>
      </w:pPr>
      <w:r>
        <w:object w:dxaOrig="2784" w:dyaOrig="1267">
          <v:rect xmlns:o="urn:schemas-microsoft-com:office:office" xmlns:v="urn:schemas-microsoft-com:vml" id="rectole0000000000" style="width:139.200000pt;height:63.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1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ΕΚΠΡΟΣΩΠΟΣ ΤΥΠΟΥ</w:t>
      </w:r>
    </w:p>
    <w:p>
      <w:pPr>
        <w:suppressAutoHyphens w:val="true"/>
        <w:spacing w:before="0" w:after="160" w:line="276"/>
        <w:ind w:right="0" w:left="0" w:firstLine="0"/>
        <w:jc w:val="right"/>
        <w:rPr>
          <w:rFonts w:ascii="Times New Roman" w:hAnsi="Times New Roman" w:cs="Times New Roman" w:eastAsia="Times New Roman"/>
          <w:color w:val="000000"/>
          <w:spacing w:val="0"/>
          <w:position w:val="0"/>
          <w:sz w:val="24"/>
          <w:shd w:fill="auto" w:val="clear"/>
        </w:rPr>
      </w:pPr>
    </w:p>
    <w:p>
      <w:pPr>
        <w:suppressAutoHyphens w:val="true"/>
        <w:spacing w:before="0" w:after="16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Αθήνα, 17 Ιουλίου 2025</w:t>
      </w:r>
    </w:p>
    <w:p>
      <w:pPr>
        <w:suppressAutoHyphens w:val="true"/>
        <w:spacing w:before="0" w:after="160" w:line="276"/>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60" w:line="276"/>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16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Η ΑΠΟΔΟΣΗ ΤΟΥ ΣΥΜΒΟΥΛΙΟΥ ΤΗΣ ΕΠΙΚΡΑΤΕΙΑΣ ΣΕ ΑΡΙΘΜΟΥΣ</w:t>
      </w:r>
    </w:p>
    <w:p>
      <w:pPr>
        <w:suppressAutoHyphens w:val="true"/>
        <w:spacing w:before="0" w:after="160" w:line="276"/>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Το χρονικό διάστημα 1.1.2024 - 30.6.2025 υπήρξε ιδιαιτέρως επιτυχημένο για το Συμβούλιο της Επικρατείας στην προσπάθειά του για ποιοτική απονομή δικαιοσύνης εντός ευλόγου χρόνου. </w:t>
      </w:r>
    </w:p>
    <w:p>
      <w:pPr>
        <w:suppressAutoHyphens w:val="true"/>
        <w:spacing w:before="0" w:after="16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Οι δικαστές και οι δικαστικοί υπάλληλοι του Δικαστηρίου ενέτειναν τις προσπάθειές τους και σε συνδυασμό με τις νέες δικονομικές ρυθμίσεις του ν. 5119/2014 και τις καλές πρακτικές που εφαρμόστηκαν (στοχοθεσία σε τμήματα και δικαστές, μείωση έκτασης δικογράφων και αποφάσεων, ορθολογική χρήση του χρόνου στο ακροατήριο κ.λπ.), υπήρξαν θεαματικά αποτελέσματα στην ποσοτική απόδοση του δικαστηρίου και στη μείωση του χρόνου που απαιτείται για την περαίωση των υποθέσεων.  </w:t>
      </w:r>
    </w:p>
    <w:p>
      <w:pPr>
        <w:suppressAutoHyphens w:val="true"/>
        <w:spacing w:before="0" w:after="160" w:line="276"/>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160" w:line="276"/>
        <w:ind w:right="0" w:left="0" w:firstLine="0"/>
        <w:jc w:val="center"/>
        <w:rPr>
          <w:rFonts w:ascii="Times New Roman" w:hAnsi="Times New Roman" w:cs="Times New Roman" w:eastAsia="Times New Roman"/>
          <w:color w:val="auto"/>
          <w:spacing w:val="0"/>
          <w:position w:val="0"/>
          <w:sz w:val="24"/>
          <w:shd w:fill="auto" w:val="clear"/>
        </w:rPr>
      </w:pPr>
      <w:r>
        <w:object w:dxaOrig="7973" w:dyaOrig="4756">
          <v:rect xmlns:o="urn:schemas-microsoft-com:office:office" xmlns:v="urn:schemas-microsoft-com:vml" id="rectole0000000001" style="width:398.650000pt;height:237.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Ειδικότερα, η εκκρεμότητα του Δικαστηρίου από τις </w:t>
      </w:r>
      <w:r>
        <w:rPr>
          <w:rFonts w:ascii="Times New Roman" w:hAnsi="Times New Roman" w:cs="Times New Roman" w:eastAsia="Times New Roman"/>
          <w:b/>
          <w:color w:val="auto"/>
          <w:spacing w:val="0"/>
          <w:position w:val="0"/>
          <w:sz w:val="24"/>
          <w:shd w:fill="auto" w:val="clear"/>
        </w:rPr>
        <w:t xml:space="preserve">11504</w:t>
      </w:r>
      <w:r>
        <w:rPr>
          <w:rFonts w:ascii="Times New Roman" w:hAnsi="Times New Roman" w:cs="Times New Roman" w:eastAsia="Times New Roman"/>
          <w:color w:val="auto"/>
          <w:spacing w:val="0"/>
          <w:position w:val="0"/>
          <w:sz w:val="24"/>
          <w:shd w:fill="auto" w:val="clear"/>
        </w:rPr>
        <w:t xml:space="preserve"> υποθέσεις στις 31.12.2023 έπεσε στις </w:t>
      </w:r>
      <w:r>
        <w:rPr>
          <w:rFonts w:ascii="Times New Roman" w:hAnsi="Times New Roman" w:cs="Times New Roman" w:eastAsia="Times New Roman"/>
          <w:b/>
          <w:color w:val="auto"/>
          <w:spacing w:val="0"/>
          <w:position w:val="0"/>
          <w:sz w:val="24"/>
          <w:shd w:fill="auto" w:val="clear"/>
        </w:rPr>
        <w:t xml:space="preserve">10.534</w:t>
      </w:r>
      <w:r>
        <w:rPr>
          <w:rFonts w:ascii="Times New Roman" w:hAnsi="Times New Roman" w:cs="Times New Roman" w:eastAsia="Times New Roman"/>
          <w:color w:val="auto"/>
          <w:spacing w:val="0"/>
          <w:position w:val="0"/>
          <w:sz w:val="24"/>
          <w:shd w:fill="auto" w:val="clear"/>
        </w:rPr>
        <w:t xml:space="preserve"> υποθέσεις, στις 31.12.2024, δηλαδή υπήρξε μια μείωση της εκκρεμότητας της τάξης του </w:t>
      </w:r>
      <w:r>
        <w:rPr>
          <w:rFonts w:ascii="Times New Roman" w:hAnsi="Times New Roman" w:cs="Times New Roman" w:eastAsia="Times New Roman"/>
          <w:b/>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object w:dxaOrig="7303" w:dyaOrig="5057">
          <v:rect xmlns:o="urn:schemas-microsoft-com:office:office" xmlns:v="urn:schemas-microsoft-com:vml" id="rectole0000000002" style="width:365.150000pt;height:252.8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Περαιτέρω, για το έτος 2024 ο μέσος χρόνος περαίωσης των υποθέσεων, δηλαδή ο χρόνος που απαιτείται κατά μέσο όρο για την περαίωση μιας υπόθεσης από την κατάθεσή της στο Συμβούλιο της Επικρατείας ήταν </w:t>
      </w:r>
      <w:r>
        <w:rPr>
          <w:rFonts w:ascii="Times New Roman" w:hAnsi="Times New Roman" w:cs="Times New Roman" w:eastAsia="Times New Roman"/>
          <w:b/>
          <w:color w:val="auto"/>
          <w:spacing w:val="0"/>
          <w:position w:val="0"/>
          <w:sz w:val="24"/>
          <w:shd w:fill="auto" w:val="clear"/>
        </w:rPr>
        <w:t xml:space="preserve">964 ημέρες</w:t>
      </w:r>
      <w:r>
        <w:rPr>
          <w:rFonts w:ascii="Times New Roman" w:hAnsi="Times New Roman" w:cs="Times New Roman" w:eastAsia="Times New Roman"/>
          <w:color w:val="auto"/>
          <w:spacing w:val="0"/>
          <w:position w:val="0"/>
          <w:sz w:val="24"/>
          <w:shd w:fill="auto" w:val="clear"/>
        </w:rPr>
        <w:t xml:space="preserve"> (περίπου 2,7 χρόνια). Συνεπώς, ο χρόνος αυτός μειώθηκε κατά </w:t>
      </w:r>
      <w:r>
        <w:rPr>
          <w:rFonts w:ascii="Times New Roman" w:hAnsi="Times New Roman" w:cs="Times New Roman" w:eastAsia="Times New Roman"/>
          <w:b/>
          <w:color w:val="auto"/>
          <w:spacing w:val="0"/>
          <w:position w:val="0"/>
          <w:sz w:val="24"/>
          <w:shd w:fill="auto" w:val="clear"/>
        </w:rPr>
        <w:t xml:space="preserve">268 ημέρες</w:t>
      </w:r>
      <w:r>
        <w:rPr>
          <w:rFonts w:ascii="Times New Roman" w:hAnsi="Times New Roman" w:cs="Times New Roman" w:eastAsia="Times New Roman"/>
          <w:color w:val="auto"/>
          <w:spacing w:val="0"/>
          <w:position w:val="0"/>
          <w:sz w:val="24"/>
          <w:shd w:fill="auto" w:val="clear"/>
        </w:rPr>
        <w:t xml:space="preserve"> (περίπου 9 μήνες) σε σχέση με το 2023.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396" w:dyaOrig="6082">
          <v:rect xmlns:o="urn:schemas-microsoft-com:office:office" xmlns:v="urn:schemas-microsoft-com:vml" id="rectole0000000003" style="width:419.800000pt;height:304.1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Επίσης, το 2024 αυξήθηκε σημαντικά </w:t>
      </w:r>
      <w:r>
        <w:rPr>
          <w:rFonts w:ascii="Times New Roman" w:hAnsi="Times New Roman" w:cs="Times New Roman" w:eastAsia="Times New Roman"/>
          <w:b/>
          <w:color w:val="auto"/>
          <w:spacing w:val="0"/>
          <w:position w:val="0"/>
          <w:sz w:val="24"/>
          <w:shd w:fill="auto" w:val="clear"/>
        </w:rPr>
        <w:t xml:space="preserve">από το 1,12 στο 1,26</w:t>
      </w:r>
      <w:r>
        <w:rPr>
          <w:rFonts w:ascii="Times New Roman" w:hAnsi="Times New Roman" w:cs="Times New Roman" w:eastAsia="Times New Roman"/>
          <w:color w:val="auto"/>
          <w:spacing w:val="0"/>
          <w:position w:val="0"/>
          <w:sz w:val="24"/>
          <w:shd w:fill="auto" w:val="clear"/>
        </w:rPr>
        <w:t xml:space="preserve"> ο ρυθμός περαίωσης υποθέσεων, δηλαδή η αναλογία μεταξύ περαιωθεισών και εισερχομένων υποθέσεων στο Δικαστήριο. Όπως είναι αυτονόητο, όταν η αναλογία αυτή ξεπερνάει το 1 (δηλαδή οι περαιωθείσες υποθέσεις είναι περισσότερες από τις εισερχόμενες), η εκκρεμότητα του Δικαστηρίου μειώνεται.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object w:dxaOrig="8720" w:dyaOrig="6671">
          <v:rect xmlns:o="urn:schemas-microsoft-com:office:office" xmlns:v="urn:schemas-microsoft-com:vml" id="rectole0000000004" style="width:436.000000pt;height:333.5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Τέλος, ιδιαίτερη σημασία έχουν οι χρόνοι του Δικαστηρίου στη διαχείριση των υποθέσεων ενώπιον της Ολομελείας, οι οποίες είναι, κατά τεκμήριο, οι πιο σημαντικές (π.χ. νέος οικοδομικός κανονισμός, νέα φορολογικά τεκμήρια, γάμος ομόφυλων ζευγαριών, παραρτήματα αλλοδαπών πανεπιστημίων, χαρακτηρισμός της Τουρκίας ως ασφαλούς τρίτης χώρας κ.λπ.).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Έτσι, κατά το δικαστικό έτος 2024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2025 (16.9.2024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30.6.2025), </w:t>
      </w:r>
      <w:r>
        <w:rPr>
          <w:rFonts w:ascii="Times New Roman" w:hAnsi="Times New Roman" w:cs="Times New Roman" w:eastAsia="Times New Roman"/>
          <w:color w:val="auto"/>
          <w:spacing w:val="0"/>
          <w:position w:val="0"/>
          <w:sz w:val="24"/>
          <w:shd w:fill="auto" w:val="clear"/>
        </w:rPr>
        <w:t xml:space="preserve">συζητήθηκαν στην Ολομέλεια 57 υποθέσεις, δημοσιεύθηκαν ήδη 24 και ο μέσος χρόνος που απαιτήθηκε από τη συζήτηση έως τη δημοσίευσή τους </w:t>
      </w:r>
      <w:r>
        <w:rPr>
          <w:rFonts w:ascii="Times New Roman" w:hAnsi="Times New Roman" w:cs="Times New Roman" w:eastAsia="Times New Roman"/>
          <w:b/>
          <w:color w:val="auto"/>
          <w:spacing w:val="0"/>
          <w:position w:val="0"/>
          <w:sz w:val="24"/>
          <w:shd w:fill="auto" w:val="clear"/>
        </w:rPr>
        <w:t xml:space="preserve">δεν ξεπέρασε τις 100 ημέρες</w:t>
      </w:r>
      <w:r>
        <w:rPr>
          <w:rFonts w:ascii="Times New Roman" w:hAnsi="Times New Roman" w:cs="Times New Roman" w:eastAsia="Times New Roman"/>
          <w:color w:val="auto"/>
          <w:spacing w:val="0"/>
          <w:position w:val="0"/>
          <w:sz w:val="24"/>
          <w:shd w:fill="auto" w:val="clear"/>
        </w:rPr>
        <w:t xml:space="preserve">. Ταυτόχρονα, σε 25 υποθέσεις η Ολομέλεια χρησιμοποίησε τη δυνατότητα που της παρέχει το άρθρο 34 παρ. 8 του π.δ. 18/1989 και, εκτιμώντας τις περιστάσεις, έδωσε στη δημοσιότητα, δια του Προέδρου της, μετά το πέρας της διάσκεψης, σύντομη ανακοίνωση για το περιεχόμενο της απόφασης που ελήφθη και την κατά προσέγγιση εκτιμώμενη ημερομηνία δημοσίευσης του κειμένου της. Ο μέσος χρόνος που απαιτήθηκε για τη δημοσίευση αυτών των ανακοινώσεων ήταν </w:t>
      </w:r>
      <w:r>
        <w:rPr>
          <w:rFonts w:ascii="Times New Roman" w:hAnsi="Times New Roman" w:cs="Times New Roman" w:eastAsia="Times New Roman"/>
          <w:b/>
          <w:color w:val="auto"/>
          <w:spacing w:val="0"/>
          <w:position w:val="0"/>
          <w:sz w:val="24"/>
          <w:shd w:fill="auto" w:val="clear"/>
        </w:rPr>
        <w:t xml:space="preserve">περίπου 40 ημέρες</w:t>
      </w:r>
      <w:r>
        <w:rPr>
          <w:rFonts w:ascii="Times New Roman" w:hAnsi="Times New Roman" w:cs="Times New Roman" w:eastAsia="Times New Roman"/>
          <w:color w:val="auto"/>
          <w:spacing w:val="0"/>
          <w:position w:val="0"/>
          <w:sz w:val="24"/>
          <w:shd w:fill="auto" w:val="clear"/>
        </w:rPr>
        <w:t xml:space="preserve"> από τη συζήτηση των υποθέσεων, επιτυγχάνοντας έτσι την άμεση και έγκυρη ενημέρωση των διαδίκων και του κοινού και την αποφυγή διαρροών και ειδήσεων αμφίβολης αξιοπιστίας.</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object w:dxaOrig="7973" w:dyaOrig="4752">
          <v:rect xmlns:o="urn:schemas-microsoft-com:office:office" xmlns:v="urn:schemas-microsoft-com:vml" id="rectole0000000005" style="width:398.650000pt;height:237.6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 επόμενο δικαστικό έτος αναμένεται να είναι ακόμη πιο αποδοτικό: το Δικαστήριο επιστρέφει στη φυσική του έδρα στο ανακαινισμένο Αρσάκειο Μέγαρο, οι επίκουροι δικαστικοί υπάλληλοι έχουν πλέον ενσωματωθεί και συμβάλλουν ουσιαστικά στην ταχύτερη διαχείριση των υποθέσεων, αναμένεται η πρόσληψη 50 νέων δικαστικών υπαλλήλων με αυξημένα προσόντα για να βοηθήσουν τους δικαστές του Συμβουλίου της Επικρατείας στην άσκηση των πρόσθετων (μη δικαιοδοτικών) καθηκόντων τους και, τέλος, εισάγεται ο θεσμός της άδειας για την άσκηση αιτήσεων αναιρέσεων από το Δημόσιο, έτσι ώστε οι υποθέσεις που τελικώς εκδικάζονται να συνάδουν με τον χαρακτήρα και την αποστολή του Συμβουλίου της Επικρατείας.  </w:t>
      </w:r>
    </w:p>
    <w:p>
      <w:pPr>
        <w:suppressAutoHyphens w:val="true"/>
        <w:spacing w:before="0" w:after="0" w:line="360"/>
        <w:ind w:right="0" w:left="0" w:firstLine="0"/>
        <w:jc w:val="right"/>
        <w:rPr>
          <w:rFonts w:ascii="Times New Roman" w:hAnsi="Times New Roman" w:cs="Times New Roman" w:eastAsia="Times New Roman"/>
          <w:color w:val="000000"/>
          <w:spacing w:val="0"/>
          <w:position w:val="0"/>
          <w:sz w:val="24"/>
          <w:shd w:fill="auto" w:val="clear"/>
        </w:rPr>
      </w:pPr>
    </w:p>
    <w:p>
      <w:pPr>
        <w:suppressAutoHyphens w:val="true"/>
        <w:spacing w:before="0" w:after="0" w:line="36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Νικόλαος Σεκέρογλου</w:t>
      </w:r>
    </w:p>
    <w:p>
      <w:pPr>
        <w:suppressAutoHyphens w:val="true"/>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Πάρεδρος</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numbering.xml" Id="docRId12"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s>
</file>